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9641" w14:textId="1A12FFC3" w:rsidR="00FA1E68" w:rsidRPr="0013413D" w:rsidRDefault="000F67B3" w:rsidP="00B807EE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24"/>
          <w:szCs w:val="23"/>
        </w:rPr>
      </w:pPr>
      <w:r w:rsidRPr="000F67B3"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</w:rPr>
        <w:t>TWEED SAND BYPASSING TRANSITION PROJECT</w:t>
      </w:r>
    </w:p>
    <w:p w14:paraId="53BB3B97" w14:textId="77777777" w:rsidR="00FA1E68" w:rsidRDefault="00FA1E68">
      <w:pPr>
        <w:spacing w:before="5" w:after="0" w:line="110" w:lineRule="exact"/>
        <w:rPr>
          <w:sz w:val="11"/>
          <w:szCs w:val="11"/>
        </w:rPr>
      </w:pPr>
    </w:p>
    <w:p w14:paraId="50E9F2FC" w14:textId="77777777" w:rsidR="00FA1E68" w:rsidRDefault="00FA1E68">
      <w:pPr>
        <w:spacing w:after="0" w:line="200" w:lineRule="exact"/>
        <w:rPr>
          <w:sz w:val="20"/>
          <w:szCs w:val="20"/>
        </w:rPr>
      </w:pPr>
    </w:p>
    <w:p w14:paraId="12D7FDD8" w14:textId="77777777" w:rsidR="005E6D57" w:rsidRPr="00977636" w:rsidRDefault="005E6D57" w:rsidP="005E6D57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u w:val="single"/>
        </w:rPr>
        <w:t>Matthew Harry</w:t>
      </w:r>
      <w:r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 xml:space="preserve"> </w:t>
      </w:r>
      <w:r w:rsidRPr="00193E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Maritime, Transport for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NSW</w:t>
      </w:r>
      <w:r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Pr="00977636">
        <w:rPr>
          <w:rFonts w:ascii="Microsoft Sans Serif" w:eastAsia="Microsoft Sans Serif" w:hAnsi="Microsoft Sans Serif" w:cs="Microsoft Sans Serif"/>
          <w:spacing w:val="22"/>
          <w:sz w:val="18"/>
          <w:szCs w:val="17"/>
        </w:rPr>
        <w:t xml:space="preserve"> </w:t>
      </w:r>
      <w:hyperlink r:id="rId10" w:history="1">
        <w:r>
          <w:rPr>
            <w:rStyle w:val="Hyperlink"/>
            <w:rFonts w:ascii="Microsoft Sans Serif" w:eastAsia="Microsoft Sans Serif" w:hAnsi="Microsoft Sans Serif" w:cs="Microsoft Sans Serif"/>
            <w:spacing w:val="-1"/>
            <w:w w:val="102"/>
            <w:sz w:val="18"/>
            <w:szCs w:val="17"/>
          </w:rPr>
          <w:t>matthew.harry@transport.nsw.gov.au</w:t>
        </w:r>
      </w:hyperlink>
    </w:p>
    <w:p w14:paraId="0331F554" w14:textId="77777777" w:rsidR="005E6D57" w:rsidRDefault="005E6D57" w:rsidP="005E6D57">
      <w:pPr>
        <w:spacing w:after="0" w:line="240" w:lineRule="auto"/>
        <w:ind w:right="99"/>
        <w:jc w:val="center"/>
        <w:rPr>
          <w:rStyle w:val="Hyperlink"/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>Adrian Barwick</w:t>
      </w:r>
      <w:r w:rsidRPr="00977636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,</w:t>
      </w:r>
      <w:r w:rsidRPr="00977636">
        <w:rPr>
          <w:rFonts w:ascii="Microsoft Sans Serif" w:eastAsia="Microsoft Sans Serif" w:hAnsi="Microsoft Sans Serif" w:cs="Microsoft Sans Serif"/>
          <w:spacing w:val="21"/>
          <w:position w:val="-1"/>
          <w:sz w:val="18"/>
          <w:szCs w:val="17"/>
        </w:rPr>
        <w:t xml:space="preserve"> </w:t>
      </w:r>
      <w:r w:rsidRPr="00193E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Maritime, Transport for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NSW</w:t>
      </w:r>
      <w:r w:rsidRPr="00977636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,</w:t>
      </w:r>
      <w:r w:rsidRPr="00977636">
        <w:rPr>
          <w:rFonts w:ascii="Microsoft Sans Serif" w:eastAsia="Microsoft Sans Serif" w:hAnsi="Microsoft Sans Serif" w:cs="Microsoft Sans Serif"/>
          <w:spacing w:val="27"/>
          <w:position w:val="-1"/>
          <w:sz w:val="18"/>
          <w:szCs w:val="17"/>
        </w:rPr>
        <w:t xml:space="preserve"> </w:t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pacing w:val="-1"/>
            <w:w w:val="102"/>
            <w:sz w:val="18"/>
            <w:szCs w:val="17"/>
          </w:rPr>
          <w:t>adrian.barwick@transport.nsw.gov.au</w:t>
        </w:r>
      </w:hyperlink>
    </w:p>
    <w:p w14:paraId="4EEEBE13" w14:textId="66B044CB" w:rsidR="00FA1E68" w:rsidRPr="00977636" w:rsidRDefault="00154313" w:rsidP="005E6D57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>Bruce Harper</w:t>
      </w:r>
      <w:r w:rsidR="005E6D57" w:rsidRPr="00977636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,</w:t>
      </w:r>
      <w:r w:rsidR="005E6D57">
        <w:rPr>
          <w:rFonts w:ascii="Microsoft Sans Serif" w:eastAsia="Microsoft Sans Serif" w:hAnsi="Microsoft Sans Serif" w:cs="Microsoft Sans Serif"/>
          <w:spacing w:val="21"/>
          <w:position w:val="-1"/>
          <w:sz w:val="18"/>
          <w:szCs w:val="17"/>
        </w:rPr>
        <w:t xml:space="preserve"> </w:t>
      </w:r>
      <w:r w:rsidR="005E6D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Department of Environment and Science, Queensland</w:t>
      </w:r>
      <w:r w:rsidR="005E6D57" w:rsidRPr="00977636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,</w:t>
      </w:r>
      <w:r w:rsidR="005E6D57" w:rsidRPr="00977636">
        <w:rPr>
          <w:rFonts w:ascii="Microsoft Sans Serif" w:eastAsia="Microsoft Sans Serif" w:hAnsi="Microsoft Sans Serif" w:cs="Microsoft Sans Serif"/>
          <w:spacing w:val="27"/>
          <w:position w:val="-1"/>
          <w:sz w:val="18"/>
          <w:szCs w:val="17"/>
        </w:rPr>
        <w:t xml:space="preserve"> </w:t>
      </w:r>
      <w:hyperlink r:id="rId12" w:history="1">
        <w:r>
          <w:rPr>
            <w:rStyle w:val="Hyperlink"/>
            <w:rFonts w:ascii="Microsoft Sans Serif" w:eastAsia="Microsoft Sans Serif" w:hAnsi="Microsoft Sans Serif" w:cs="Microsoft Sans Serif"/>
            <w:spacing w:val="-1"/>
            <w:w w:val="102"/>
            <w:sz w:val="18"/>
            <w:szCs w:val="17"/>
          </w:rPr>
          <w:t>bruce.harper@des.qld.gov.au</w:t>
        </w:r>
      </w:hyperlink>
      <w:r w:rsidR="00996A43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37FEB538" w14:textId="77777777" w:rsidR="00FA1E68" w:rsidRDefault="00FA1E68">
      <w:pPr>
        <w:spacing w:before="11" w:after="0" w:line="260" w:lineRule="exact"/>
        <w:rPr>
          <w:sz w:val="26"/>
          <w:szCs w:val="26"/>
        </w:rPr>
      </w:pPr>
    </w:p>
    <w:p w14:paraId="417B08C6" w14:textId="77777777" w:rsidR="00FA1E68" w:rsidRDefault="00FA1E68">
      <w:pPr>
        <w:spacing w:after="0"/>
        <w:sectPr w:rsidR="00FA1E68" w:rsidSect="00400773">
          <w:type w:val="continuous"/>
          <w:pgSz w:w="12240" w:h="15840" w:code="1"/>
          <w:pgMar w:top="1440" w:right="1021" w:bottom="1440" w:left="1021" w:header="709" w:footer="709" w:gutter="0"/>
          <w:cols w:space="708"/>
          <w:docGrid w:linePitch="299"/>
        </w:sectPr>
      </w:pPr>
    </w:p>
    <w:p w14:paraId="563AA22A" w14:textId="77777777" w:rsidR="00041172" w:rsidRDefault="00041172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BACKGROUND</w:t>
      </w:r>
    </w:p>
    <w:p w14:paraId="226C15F4" w14:textId="4EE4512F" w:rsidR="00041172" w:rsidRPr="00634529" w:rsidRDefault="00041172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Tweed River </w:t>
      </w:r>
      <w:proofErr w:type="gramStart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is located in</w:t>
      </w:r>
      <w:proofErr w:type="gramEnd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New South Wales, Australia, just south of the state border with Queensland</w:t>
      </w:r>
      <w:r w:rsidR="005C378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(Figure 1)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Tweed Riv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er Entrance Sand Bypass Project, </w:t>
      </w:r>
      <w:r w:rsidR="006A080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aka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Tweed Sand Bypassing (TSB),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was formulated to overcome problems caused by the extension of the Tweed River entrance training walls in the 1960s</w:t>
      </w:r>
      <w:r w:rsidR="00C56F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(Dyson et al., 2001)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These </w:t>
      </w:r>
      <w:r w:rsidR="003A677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issues 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were primarily: the interception of natural longshore movement of sand, resulting in loss of sand supply to the southern Gold Coast beaches; and sand movement into the river entrance with consequential im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pacts on vessel navigation. 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SB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is a joint initiative of the New South Wales and Queensland State Governments.</w:t>
      </w:r>
      <w:r w:rsidR="006A080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TSB is </w:t>
      </w:r>
      <w:proofErr w:type="gramStart"/>
      <w:r w:rsidR="006A080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similar to</w:t>
      </w:r>
      <w:proofErr w:type="gramEnd"/>
      <w:r w:rsidR="006A080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nearby Gold Coast Seaway Sand Bypass</w:t>
      </w:r>
      <w:r w:rsidR="007733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(GCSSB)</w:t>
      </w:r>
      <w:r w:rsidR="006A080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that </w:t>
      </w:r>
      <w:r w:rsidR="00747A4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was commission</w:t>
      </w:r>
      <w:r w:rsidR="00007FE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</w:t>
      </w:r>
      <w:r w:rsidR="00747A4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 in 19</w:t>
      </w:r>
      <w:r w:rsidR="0090177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86</w:t>
      </w:r>
      <w:r w:rsidR="00747A4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 </w:t>
      </w:r>
      <w:r w:rsidR="00007FE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stabiles </w:t>
      </w:r>
      <w:r w:rsidR="006A080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proofErr w:type="spellStart"/>
      <w:r w:rsidR="006A080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Nerang</w:t>
      </w:r>
      <w:proofErr w:type="spellEnd"/>
      <w:r w:rsidR="006A080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River entrance </w:t>
      </w:r>
      <w:r w:rsidR="00FB398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(</w:t>
      </w:r>
      <w:proofErr w:type="spellStart"/>
      <w:r w:rsidR="006767B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Clausner</w:t>
      </w:r>
      <w:proofErr w:type="spellEnd"/>
      <w:r w:rsidR="00FB398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1989)</w:t>
      </w:r>
      <w:r w:rsidR="00747A4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 Together</w:t>
      </w:r>
      <w:r w:rsidR="00007FE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747A4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these</w:t>
      </w:r>
      <w:r w:rsidR="00007FE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two facilities have come to represent best practice outcomes in sustainable </w:t>
      </w:r>
      <w:r w:rsidR="006809D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coastal</w:t>
      </w:r>
      <w:r w:rsidR="00007FE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management.</w:t>
      </w:r>
    </w:p>
    <w:p w14:paraId="2792F7C6" w14:textId="77777777" w:rsidR="00041172" w:rsidRDefault="00041172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53FF27AD" w14:textId="0EDC2061" w:rsidR="00041172" w:rsidRDefault="00041172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 1998, private sector participation in the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TSB project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was invited on a Build Own Operate and Transfer (BOOT) basis. Contracts were awarded to a consortium led by McConnell Dowell (the Operator) to design, construct and operate a sand bypass system until September 2024. Construction began in 2000 and the system began operating in 2001. The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TSB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fixed bypass system continues to be operated under a Concession Agreement </w:t>
      </w:r>
      <w:r w:rsidR="00933E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(CA) 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between the Governments and the Operator until 30 September 2024 and is legislated to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operate in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perpetuity by acts of Parliament in NSW and Queensland. At expiry of the </w:t>
      </w:r>
      <w:r w:rsidR="00933E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system will be transferred to the Governments.</w:t>
      </w:r>
      <w:r w:rsidR="005B29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E367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Operator is obliged under the terms of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E367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933E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</w:t>
      </w:r>
      <w:r w:rsidRPr="00E367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to:</w:t>
      </w:r>
    </w:p>
    <w:p w14:paraId="7EA1E911" w14:textId="77777777" w:rsidR="00041172" w:rsidRPr="00EA0A6A" w:rsidRDefault="00041172" w:rsidP="000411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EA0A6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maintain a Clear Navigation Channel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EA0A6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as defined in the </w:t>
      </w:r>
      <w:proofErr w:type="gramStart"/>
      <w:r w:rsidRPr="00EA0A6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Agreement;</w:t>
      </w:r>
      <w:proofErr w:type="gramEnd"/>
    </w:p>
    <w:p w14:paraId="24772D7C" w14:textId="099E4B39" w:rsidR="00041172" w:rsidRPr="00E36731" w:rsidRDefault="00041172" w:rsidP="000411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E367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deliver sand to the southern Gold Coast beaches in accordance with annual orders placed by </w:t>
      </w:r>
      <w:proofErr w:type="gramStart"/>
      <w:r w:rsidRPr="00E367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Governments;</w:t>
      </w:r>
      <w:proofErr w:type="gramEnd"/>
    </w:p>
    <w:p w14:paraId="0B18AEB7" w14:textId="18B86E0D" w:rsidR="00041172" w:rsidRPr="00E36731" w:rsidRDefault="00041172" w:rsidP="000411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E367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maintain the fixed system for the duration of the Agreement; and</w:t>
      </w:r>
    </w:p>
    <w:p w14:paraId="4CF34C97" w14:textId="76629FDE" w:rsidR="00041172" w:rsidRPr="00E36731" w:rsidRDefault="00041172" w:rsidP="000411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E367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hand over the fixed system to the Governments at the end of the concession period at no cost to the Governments.</w:t>
      </w:r>
    </w:p>
    <w:p w14:paraId="6A5E7F0A" w14:textId="77777777" w:rsidR="006C7835" w:rsidRDefault="006C7835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2AC1280B" w14:textId="2A3EEB66" w:rsidR="00041172" w:rsidRPr="00634529" w:rsidRDefault="00041172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 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Transition Project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was 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established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by TSB t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 identify the most appropriate operational system</w:t>
      </w:r>
      <w:r w:rsidR="005E6C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/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model post-</w:t>
      </w:r>
      <w:r w:rsidR="00951F0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expiry of the </w:t>
      </w:r>
      <w:r w:rsidR="005B29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to ensure ongoing effective coastal management </w:t>
      </w:r>
      <w:r w:rsidR="001A0AF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that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meet</w:t>
      </w:r>
      <w:r w:rsidR="001A0AF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 the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legislated objectives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The Transition Project </w:t>
      </w:r>
      <w:r w:rsidR="000067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has 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provide</w:t>
      </w:r>
      <w:r w:rsidR="000067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 unique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opportunity to improve how TSB 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functions through the exploration of available options and analysis of historical operational performance.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Transition Project </w:t>
      </w:r>
      <w:r w:rsidR="000067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was divided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0067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into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four Phases mapping out detailed investigations, decision making milestones and implementation requirements to ensure operation of TSB post-2024.</w:t>
      </w:r>
    </w:p>
    <w:p w14:paraId="1EDB13C2" w14:textId="77777777" w:rsidR="00041172" w:rsidRDefault="00041172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5975A1B6" w14:textId="77777777" w:rsidR="00806956" w:rsidRDefault="00806956" w:rsidP="00806956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cs="Arial"/>
          <w:b/>
          <w:noProof/>
          <w:sz w:val="28"/>
          <w:szCs w:val="28"/>
          <w:lang w:val="en-AU" w:eastAsia="en-AU"/>
        </w:rPr>
        <w:drawing>
          <wp:inline distT="0" distB="0" distL="0" distR="0" wp14:anchorId="23D8FAAF" wp14:editId="5615CE42">
            <wp:extent cx="2898910" cy="1604408"/>
            <wp:effectExtent l="0" t="0" r="0" b="0"/>
            <wp:docPr id="3" name="Picture 3" descr="G:\Crown Land\TRESBP rev\TRESBP\PHOTOS\Obliques\2019\January\03 - Tweed Heads\20190111-007_03-33 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rown Land\TRESBP rev\TRESBP\PHOTOS\Obliques\2019\January\03 - Tweed Heads\20190111-007_03-33 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6" b="8851"/>
                    <a:stretch/>
                  </pic:blipFill>
                  <pic:spPr bwMode="auto">
                    <a:xfrm>
                      <a:off x="0" y="0"/>
                      <a:ext cx="2900045" cy="160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9B8CCE" w14:textId="3316B804" w:rsidR="00806956" w:rsidRPr="00806956" w:rsidRDefault="00806956" w:rsidP="00806956">
      <w:pPr>
        <w:spacing w:before="49" w:after="0" w:line="245" w:lineRule="auto"/>
        <w:ind w:right="69"/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Fig</w:t>
      </w:r>
      <w:r>
        <w:rPr>
          <w:rFonts w:ascii="Microsoft Sans Serif" w:eastAsia="Microsoft Sans Serif" w:hAnsi="Microsoft Sans Serif" w:cs="Microsoft Sans Serif"/>
          <w:spacing w:val="-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>e 1 –</w:t>
      </w:r>
      <w:r>
        <w:rPr>
          <w:rFonts w:ascii="Microsoft Sans Serif" w:eastAsia="Microsoft Sans Serif" w:hAnsi="Microsoft Sans Serif" w:cs="Microsoft Sans Serif"/>
          <w:spacing w:val="44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Tweed Sand Bypassing located at the Tweed River and southern Gold Coast Beaches, Australia</w:t>
      </w:r>
    </w:p>
    <w:p w14:paraId="4EB79EFB" w14:textId="77777777" w:rsidR="00806956" w:rsidRDefault="00806956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5591B651" w14:textId="2D932DF4" w:rsidR="00041172" w:rsidRPr="00634529" w:rsidRDefault="00041172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PHASE </w:t>
      </w:r>
      <w:r w:rsidR="00E25FC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1</w:t>
      </w:r>
      <w:r w:rsidR="00DC61B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: REVIEW OF PAST OPERATIONS</w:t>
      </w:r>
      <w:r w:rsidR="00042B3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(late 2018 to June 2020)</w:t>
      </w:r>
    </w:p>
    <w:p w14:paraId="317A8059" w14:textId="7B0FA226" w:rsidR="002C5FA8" w:rsidRDefault="00041172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Phase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1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consisted of</w:t>
      </w:r>
      <w:r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 review of past operations </w:t>
      </w:r>
      <w:r w:rsidR="005649F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through </w:t>
      </w:r>
      <w:r w:rsidR="00D743E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eight</w:t>
      </w:r>
      <w:r w:rsidR="003E113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1A7B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specialist consultancy </w:t>
      </w:r>
      <w:r w:rsidR="00D5149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engagements</w:t>
      </w:r>
      <w:r w:rsidR="005649F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</w:t>
      </w:r>
      <w:r w:rsidR="002D60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compilation of a</w:t>
      </w:r>
      <w:r w:rsidR="005649F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425E2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Phase 1 </w:t>
      </w:r>
      <w:r w:rsidR="003E113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summary report</w:t>
      </w:r>
      <w:r w:rsidR="005649F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="00220A2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engagements were as follows:</w:t>
      </w:r>
    </w:p>
    <w:p w14:paraId="2A8B183A" w14:textId="77777777" w:rsidR="002C5FA8" w:rsidRPr="002C5FA8" w:rsidRDefault="002C5FA8" w:rsidP="002C5F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C5F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Assessment of Performance Against Project Objectives</w:t>
      </w:r>
    </w:p>
    <w:p w14:paraId="352D27DC" w14:textId="4E2E7A22" w:rsidR="002C5FA8" w:rsidRPr="002C5FA8" w:rsidRDefault="002C5FA8" w:rsidP="002C5F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C5F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Economic and Social Impacts of TSB</w:t>
      </w:r>
    </w:p>
    <w:p w14:paraId="205F0501" w14:textId="68104038" w:rsidR="002C5FA8" w:rsidRPr="002C5FA8" w:rsidRDefault="002C5FA8" w:rsidP="002C5F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C5F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Governance and Contractual Review</w:t>
      </w:r>
    </w:p>
    <w:p w14:paraId="784FC848" w14:textId="0DE50599" w:rsidR="002C5FA8" w:rsidRPr="002C5FA8" w:rsidRDefault="002C5FA8" w:rsidP="002C5F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C5F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TSB Asset Assessment</w:t>
      </w:r>
    </w:p>
    <w:p w14:paraId="27C378F4" w14:textId="640700B8" w:rsidR="002C5FA8" w:rsidRPr="005F50D5" w:rsidRDefault="002C5FA8" w:rsidP="002C5F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C5F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TSB and </w:t>
      </w:r>
      <w:r w:rsidR="00C26D9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GC</w:t>
      </w:r>
      <w:r w:rsidR="002C00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SSB</w:t>
      </w:r>
      <w:r w:rsidRPr="005F50D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Review</w:t>
      </w:r>
    </w:p>
    <w:p w14:paraId="79237E39" w14:textId="312BFC1E" w:rsidR="00D743EC" w:rsidRPr="005F50D5" w:rsidRDefault="00D743EC" w:rsidP="002C5F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5F50D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Financial</w:t>
      </w:r>
      <w:r w:rsidR="005F50D5" w:rsidRPr="005F50D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Review</w:t>
      </w:r>
    </w:p>
    <w:p w14:paraId="1103F9CB" w14:textId="77777777" w:rsidR="002C5FA8" w:rsidRPr="002C5FA8" w:rsidRDefault="002C5FA8" w:rsidP="002C5F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C5F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TSB Environmental Review</w:t>
      </w:r>
    </w:p>
    <w:p w14:paraId="1FD2C041" w14:textId="6DEDD416" w:rsidR="002C5FA8" w:rsidRDefault="002C5FA8" w:rsidP="002C5F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C5F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Stakeholder Engagement and Consultation</w:t>
      </w:r>
    </w:p>
    <w:p w14:paraId="2632DFE8" w14:textId="382772F4" w:rsidR="00D5149F" w:rsidRPr="002C5FA8" w:rsidRDefault="00D5149F" w:rsidP="002C5F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Phase 1 summary</w:t>
      </w:r>
    </w:p>
    <w:p w14:paraId="1DE5121F" w14:textId="77777777" w:rsidR="002C5FA8" w:rsidRDefault="002C5FA8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0CFC5976" w14:textId="7127B5B1" w:rsidR="0038693F" w:rsidRDefault="00E97DE6" w:rsidP="0038693F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investigation</w:t>
      </w:r>
      <w:r w:rsidR="0075107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‘</w:t>
      </w:r>
      <w:r w:rsidR="0038693F" w:rsidRPr="0038693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Assessment of Performance Against</w:t>
      </w:r>
      <w:r w:rsidR="0038693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38693F" w:rsidRPr="0038693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Project Objectives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’</w:t>
      </w:r>
      <w:r w:rsidR="0075107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970BF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developed </w:t>
      </w:r>
      <w:r w:rsidR="00045CD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Key Performance Indicators (KPIs) </w:t>
      </w:r>
      <w:r w:rsidR="002875F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to quantify the </w:t>
      </w:r>
      <w:r w:rsidR="00946A0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effectiveness of sand bypassing and dredging since </w:t>
      </w:r>
      <w:r w:rsidR="003254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commencement of TSB.</w:t>
      </w:r>
      <w:r w:rsidR="0094302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This included comparisons between sand supplied by the system to </w:t>
      </w:r>
      <w:r w:rsidR="003B32D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longshore sediment transport, </w:t>
      </w:r>
      <w:r w:rsidR="00B41A8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analysis of </w:t>
      </w:r>
      <w:r w:rsidR="003B32D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beach profiles</w:t>
      </w:r>
      <w:r w:rsidR="005363C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beach amenity </w:t>
      </w:r>
      <w:r w:rsidR="00B41A8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downdrift of the </w:t>
      </w:r>
      <w:r w:rsidR="00E849A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sand transfer system</w:t>
      </w:r>
      <w:r w:rsidR="00B41A8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and</w:t>
      </w:r>
      <w:r w:rsidR="00E849A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0640E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quantification</w:t>
      </w:r>
      <w:r w:rsidR="0030642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</w:t>
      </w:r>
      <w:r w:rsidR="00955BB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time that the </w:t>
      </w:r>
      <w:r w:rsidR="000640E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navigation</w:t>
      </w:r>
      <w:r w:rsidR="0030642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channel </w:t>
      </w:r>
      <w:r w:rsidR="00955BB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was compliant with defined </w:t>
      </w:r>
      <w:r w:rsidR="00303B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dimensions. </w:t>
      </w:r>
      <w:r w:rsidR="003E0AB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KPI results </w:t>
      </w:r>
      <w:r w:rsidR="005A3F3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demonstrate</w:t>
      </w:r>
      <w:r w:rsidR="00E41C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</w:t>
      </w:r>
      <w:r w:rsidR="005A3F3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3E0AB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that overall</w:t>
      </w:r>
      <w:r w:rsidR="00E41C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3E0AB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TSB has been successful in meeting legislated objectives.</w:t>
      </w:r>
    </w:p>
    <w:p w14:paraId="4461D8BD" w14:textId="77777777" w:rsidR="00CA5D2A" w:rsidRDefault="00CA5D2A" w:rsidP="0038693F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288ECF34" w14:textId="1F0BF275" w:rsidR="00CA5D2A" w:rsidRDefault="00D74700" w:rsidP="0038693F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CA5D2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‘Economic and Social Impacts of TSB’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investigation </w:t>
      </w:r>
      <w:r w:rsidR="0075107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sought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 identify </w:t>
      </w:r>
      <w:r w:rsidR="007251F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1F066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economic and social </w:t>
      </w:r>
      <w:r w:rsidR="007251F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benefits associated with the </w:t>
      </w:r>
      <w:r w:rsidR="001F066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activities in the Tweed River entrance, and of tourist and resident use of beach and surf amenity in the project area.</w:t>
      </w:r>
      <w:r w:rsidR="006C2EC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investigation also </w:t>
      </w:r>
      <w:r w:rsidR="00586D0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estimated the potential impact of alternative sand management scenarios (change in operations and </w:t>
      </w:r>
      <w:r w:rsidR="002F1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coastal control structures). It was estimated that </w:t>
      </w:r>
      <w:r w:rsidR="00C21E2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economic value </w:t>
      </w:r>
      <w:r w:rsidR="0088034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of beach and entrance usage in the project area </w:t>
      </w:r>
      <w:r w:rsidR="004A4E8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(under the current base case of TSB being operational) was </w:t>
      </w:r>
      <w:r w:rsidR="002F1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over </w:t>
      </w:r>
      <w:r w:rsidR="002F1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lastRenderedPageBreak/>
        <w:t>$200M</w:t>
      </w:r>
      <w:r w:rsidR="005A12D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proofErr w:type="gramStart"/>
      <w:r w:rsidR="005A12D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</w:t>
      </w:r>
      <w:r w:rsidR="0065071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he majority </w:t>
      </w:r>
      <w:r w:rsidR="005A12D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of</w:t>
      </w:r>
      <w:proofErr w:type="gramEnd"/>
      <w:r w:rsidR="005A12D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this value </w:t>
      </w:r>
      <w:r w:rsidR="007F3D2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is </w:t>
      </w:r>
      <w:r w:rsidR="0065071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related to beach and surf </w:t>
      </w:r>
      <w:r w:rsidR="007A433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amenity</w:t>
      </w:r>
      <w:r w:rsidR="005A12D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It was also estimated that </w:t>
      </w:r>
      <w:r w:rsidR="007A433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alternative scenarios</w:t>
      </w:r>
      <w:r w:rsidR="005A12D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</w:t>
      </w:r>
      <w:proofErr w:type="gramStart"/>
      <w:r w:rsidR="00493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e.g.</w:t>
      </w:r>
      <w:proofErr w:type="gramEnd"/>
      <w:r w:rsidR="00493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dredge only or return to pre 1960’s scenario) </w:t>
      </w:r>
      <w:r w:rsidR="007A433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would result in economic losses.</w:t>
      </w:r>
    </w:p>
    <w:p w14:paraId="72F1D99A" w14:textId="77777777" w:rsidR="007A4339" w:rsidRDefault="007A4339" w:rsidP="0038693F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0FFBD48A" w14:textId="12E7C71A" w:rsidR="0038693F" w:rsidRDefault="00BC17CB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 ‘Governance and Contractual Review’ </w:t>
      </w:r>
      <w:r w:rsidR="007F183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determine</w:t>
      </w:r>
      <w:r w:rsidR="001A0AF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</w:t>
      </w:r>
      <w:r w:rsidR="007F183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</w:t>
      </w:r>
      <w:r w:rsidR="002F2B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effectiveness</w:t>
      </w:r>
      <w:r w:rsidR="007F183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the </w:t>
      </w:r>
      <w:r w:rsidR="00E8315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Governance arrangement</w:t>
      </w:r>
      <w:r w:rsidR="00C301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D55AE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E8315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the </w:t>
      </w:r>
      <w:r w:rsidR="00E57C9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</w:t>
      </w:r>
      <w:r w:rsidR="00A1206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between the Governments and </w:t>
      </w:r>
      <w:r w:rsidR="00E8315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Operator</w:t>
      </w:r>
      <w:r w:rsidR="00822FD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="006E48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E5052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current </w:t>
      </w:r>
      <w:r w:rsidR="00681AE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Governa</w:t>
      </w:r>
      <w:r w:rsidR="00E020B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nce framework involves a Working Group </w:t>
      </w:r>
      <w:r w:rsidR="003021B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of diverse parties</w:t>
      </w:r>
      <w:r w:rsidR="00595D9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6F77B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that </w:t>
      </w:r>
      <w:r w:rsidR="00C728B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set</w:t>
      </w:r>
      <w:r w:rsidR="006F77B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C728B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strategic</w:t>
      </w:r>
      <w:r w:rsidR="006F77B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project</w:t>
      </w:r>
      <w:r w:rsidR="00C728B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priorities</w:t>
      </w:r>
      <w:r w:rsidR="003021B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an Advisory Committee </w:t>
      </w:r>
      <w:r w:rsidR="00C728B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that </w:t>
      </w:r>
      <w:proofErr w:type="spellStart"/>
      <w:r w:rsidR="001776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recognises</w:t>
      </w:r>
      <w:proofErr w:type="spellEnd"/>
      <w:r w:rsidR="001776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community feedback</w:t>
      </w:r>
      <w:r w:rsidR="006F77B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and a range of </w:t>
      </w:r>
      <w:r w:rsidR="00B9443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legislative </w:t>
      </w:r>
      <w:r w:rsidR="00E26C5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mechanisms </w:t>
      </w:r>
      <w:r w:rsidR="006E48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that Governments </w:t>
      </w:r>
      <w:r w:rsidR="0073636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use to assess ongoing management of </w:t>
      </w:r>
      <w:proofErr w:type="gramStart"/>
      <w:r w:rsidR="0073636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TSB as a whole</w:t>
      </w:r>
      <w:proofErr w:type="gramEnd"/>
      <w:r w:rsidR="0073636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 It was found that the Governance framework</w:t>
      </w:r>
      <w:r w:rsidR="009C2AF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has been effective </w:t>
      </w:r>
      <w:r w:rsidR="00ED64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overall </w:t>
      </w:r>
      <w:r w:rsidR="00FC5D5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albeit </w:t>
      </w:r>
      <w:r w:rsidR="00D55AE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with </w:t>
      </w:r>
      <w:r w:rsidR="0002259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some inflexibility</w:t>
      </w:r>
      <w:r w:rsidR="00FC5D5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The Contractual </w:t>
      </w:r>
      <w:r w:rsidR="001D47A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framework</w:t>
      </w:r>
      <w:r w:rsidR="00E547E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ED64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that </w:t>
      </w:r>
      <w:r w:rsidR="00E547E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primarily consist</w:t>
      </w:r>
      <w:r w:rsidR="00ED64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E547E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the </w:t>
      </w:r>
      <w:r w:rsidR="00933E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</w:t>
      </w:r>
      <w:r w:rsidR="00E547E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A0214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was found to be effective</w:t>
      </w:r>
      <w:r w:rsidR="00862E5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 shifting financial</w:t>
      </w:r>
      <w:r w:rsidR="00D2401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whole of life</w:t>
      </w:r>
      <w:r w:rsidR="00862E5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operating risks to </w:t>
      </w:r>
      <w:r w:rsidR="0039026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Operator</w:t>
      </w:r>
      <w:r w:rsidR="00D2401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="00B0160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Nevertheless, </w:t>
      </w:r>
      <w:r w:rsidR="00C416D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it</w:t>
      </w:r>
      <w:r w:rsidR="008602F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was demonstrated that </w:t>
      </w:r>
      <w:r w:rsidR="009B680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this</w:t>
      </w:r>
      <w:r w:rsidR="00B56BF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limited the </w:t>
      </w:r>
      <w:r w:rsidR="0094126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Government’s</w:t>
      </w:r>
      <w:r w:rsidR="00B56BF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ability to respond to </w:t>
      </w:r>
      <w:r w:rsidR="00CD16B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social, </w:t>
      </w:r>
      <w:r w:rsidR="0075126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environmental,</w:t>
      </w:r>
      <w:r w:rsidR="00CD16B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economic issues. Also due to the</w:t>
      </w:r>
      <w:r w:rsidR="00AF46F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75126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long-term</w:t>
      </w:r>
      <w:r w:rsidR="00AF46F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nature of the </w:t>
      </w:r>
      <w:r w:rsidR="00933E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</w:t>
      </w:r>
      <w:r w:rsidR="00CD16B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94126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operations were somewhat limited in aligning with the dynamic nature of the coastal environment.</w:t>
      </w:r>
    </w:p>
    <w:p w14:paraId="4E262CAF" w14:textId="77777777" w:rsidR="00177688" w:rsidRDefault="00177688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5743919E" w14:textId="6DF1664D" w:rsidR="001818BA" w:rsidRDefault="00376679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‘TSB Asset Assessment’ </w:t>
      </w:r>
      <w:r w:rsidR="0013669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involved a comprehensive review of the project’s Asset Management Plan and asset management system.</w:t>
      </w:r>
      <w:r w:rsidR="008D47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investigation also </w:t>
      </w:r>
      <w:r w:rsidR="00B1183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reviewed</w:t>
      </w:r>
      <w:r w:rsidR="009574A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B1183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clauses of the </w:t>
      </w:r>
      <w:r w:rsidR="00933E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</w:t>
      </w:r>
      <w:r w:rsidR="009574A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relevant to </w:t>
      </w:r>
      <w:r w:rsidR="00A863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asset condition at handover</w:t>
      </w:r>
      <w:r w:rsidR="009574A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A863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C70E7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It was recommended that the Operator and the Governments work together to </w:t>
      </w:r>
      <w:r w:rsidR="006C2DF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update asset management systems prior to handover and to </w:t>
      </w:r>
      <w:r w:rsidR="009B4F9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investigate additional handover </w:t>
      </w:r>
      <w:r w:rsidR="000D517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standards</w:t>
      </w:r>
      <w:r w:rsidR="009B4F9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that d</w:t>
      </w:r>
      <w:r w:rsidR="00BE1F6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</w:t>
      </w:r>
      <w:r w:rsidR="009B4F9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not form part of the </w:t>
      </w:r>
      <w:r w:rsidR="00933E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</w:t>
      </w:r>
      <w:r w:rsidR="009B4F9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401D91AF" w14:textId="77777777" w:rsidR="00376679" w:rsidRDefault="00376679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44E4A856" w14:textId="5E0686D0" w:rsidR="00245585" w:rsidRDefault="00E14427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</w:t>
      </w:r>
      <w:r w:rsidR="005C571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objective of the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‘</w:t>
      </w:r>
      <w:bookmarkStart w:id="0" w:name="_Hlk112919871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TSB </w:t>
      </w:r>
      <w:r w:rsidR="0069164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 </w:t>
      </w:r>
      <w:r w:rsidR="008F2C8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GCSSB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Operation Review</w:t>
      </w:r>
      <w:bookmarkEnd w:id="0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’</w:t>
      </w:r>
      <w:r w:rsidR="0069164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5C571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was to compare the</w:t>
      </w:r>
      <w:r w:rsidR="00A276F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se</w:t>
      </w:r>
      <w:r w:rsidR="005C571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two sand transfer systems to better understand </w:t>
      </w:r>
      <w:r w:rsidR="0064029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any operational difference</w:t>
      </w:r>
      <w:r w:rsidR="00E47C2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64029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to identify possible improvements to TSB. </w:t>
      </w:r>
      <w:r w:rsidR="0016610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One of the primary findings </w:t>
      </w:r>
      <w:r w:rsidR="00F23D2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related to </w:t>
      </w:r>
      <w:r w:rsidR="00A276F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desirability of </w:t>
      </w:r>
      <w:r w:rsidR="00F23D2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increasing the density of the transferred sand slurry </w:t>
      </w:r>
      <w:r w:rsidR="0074293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at the TSB facility, which would in turn reduce </w:t>
      </w:r>
      <w:r w:rsidR="008475F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74293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required</w:t>
      </w:r>
      <w:r w:rsidR="008475F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daily </w:t>
      </w:r>
      <w:r w:rsidR="0074293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pumping time, energy use and operating costs.</w:t>
      </w:r>
      <w:r w:rsidR="00F5290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</w:p>
    <w:p w14:paraId="13C17CA7" w14:textId="77777777" w:rsidR="00D932E0" w:rsidRDefault="00D932E0" w:rsidP="00D93146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4778FF61" w14:textId="20D6E8BD" w:rsidR="00041172" w:rsidRDefault="00D932E0" w:rsidP="00D93146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‘F</w:t>
      </w:r>
      <w:r w:rsidR="00F5290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inancial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</w:t>
      </w:r>
      <w:r w:rsidR="008024A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eview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’</w:t>
      </w:r>
      <w:r w:rsidR="008024A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compar</w:t>
      </w:r>
      <w:r w:rsidR="00F4065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ed operating costs </w:t>
      </w:r>
      <w:r w:rsidR="00E0764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between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TSB and the </w:t>
      </w:r>
      <w:r w:rsidR="008F2C8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GCSSB</w:t>
      </w:r>
      <w:r w:rsidR="00E0764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It was found that the c</w:t>
      </w:r>
      <w:r w:rsidR="00D93146" w:rsidRP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ost per m</w:t>
      </w:r>
      <w:r w:rsidR="00D93146" w:rsidRPr="00F40656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3</w:t>
      </w:r>
      <w:r w:rsidR="00D93146" w:rsidRP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of delivered sand </w:t>
      </w:r>
      <w:r w:rsidR="00D93146" w:rsidRP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is more expensive for TSB</w:t>
      </w:r>
      <w:r w:rsid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 C</w:t>
      </w:r>
      <w:r w:rsidR="00F5239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</w:t>
      </w:r>
      <w:r w:rsid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ntributing reasons for the additional cost included</w:t>
      </w:r>
      <w:r w:rsidR="00D93146" w:rsidRP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transfer of risk (dredging, maintenance </w:t>
      </w:r>
      <w:proofErr w:type="spellStart"/>
      <w:r w:rsidR="00D93146" w:rsidRP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etc</w:t>
      </w:r>
      <w:proofErr w:type="spellEnd"/>
      <w:r w:rsidR="00D93146" w:rsidRP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), expected rate of return for </w:t>
      </w:r>
      <w:r w:rsidR="004A076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D93146" w:rsidRP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operator</w:t>
      </w:r>
      <w:r w:rsidR="004A076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D93146" w:rsidRP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</w:t>
      </w:r>
      <w:r w:rsidR="0082148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D93146" w:rsidRP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overhead</w:t>
      </w:r>
      <w:r w:rsidR="0082148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cost</w:t>
      </w:r>
      <w:r w:rsidR="00D93146" w:rsidRPr="00D931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s.</w:t>
      </w:r>
      <w:r w:rsidR="0082148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DB65E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Making </w:t>
      </w:r>
      <w:r w:rsidR="004A076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allowance for these additional costs</w:t>
      </w:r>
      <w:r w:rsidR="0045023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it was found the cost per m</w:t>
      </w:r>
      <w:r w:rsidR="0045023C" w:rsidRPr="00F40656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3</w:t>
      </w:r>
      <w:r w:rsidR="0045023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delivered sand was comparable.</w:t>
      </w:r>
    </w:p>
    <w:p w14:paraId="14B8CDA5" w14:textId="77777777" w:rsidR="009A440B" w:rsidRDefault="009A440B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4D4C5306" w14:textId="2EB545F8" w:rsidR="00041172" w:rsidRDefault="00CB3C60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‘TSB Environmental Review’ </w:t>
      </w:r>
      <w:r w:rsidR="00875CC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focused on the </w:t>
      </w:r>
      <w:r w:rsidR="00E3088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environmental management framework of the </w:t>
      </w:r>
      <w:r w:rsidR="00EA511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project. This incorporated the environmental approvals context, </w:t>
      </w:r>
      <w:r w:rsidR="009B740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operational environmental management system, and the TSB’s extensive environmental monitoring program. Key </w:t>
      </w:r>
      <w:r w:rsidR="0001541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recommendations</w:t>
      </w:r>
      <w:r w:rsidR="0071283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the review included </w:t>
      </w:r>
      <w:proofErr w:type="spellStart"/>
      <w:r w:rsidR="0071283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rationalisation</w:t>
      </w:r>
      <w:proofErr w:type="spellEnd"/>
      <w:r w:rsidR="0071283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/</w:t>
      </w:r>
      <w:r w:rsidR="0001541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71283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consolidation of </w:t>
      </w:r>
      <w:r w:rsidR="0001541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TSB’</w:t>
      </w:r>
      <w:r w:rsidR="00B1100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01541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environmental management plans, </w:t>
      </w:r>
      <w:r w:rsidR="00B1100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implementation of trigger</w:t>
      </w:r>
      <w:r w:rsidR="005072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-</w:t>
      </w:r>
      <w:r w:rsidR="00B1100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based monitoring </w:t>
      </w:r>
      <w:r w:rsidR="005072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where appropriate</w:t>
      </w:r>
      <w:r w:rsidR="00A276F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5072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</w:t>
      </w:r>
      <w:r w:rsidR="006C57F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replacement of some monitoring </w:t>
      </w:r>
      <w:r w:rsidR="00F0313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activities </w:t>
      </w:r>
      <w:r w:rsidR="006C57F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with alternat</w:t>
      </w:r>
      <w:r w:rsidR="00F0313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ive</w:t>
      </w:r>
      <w:r w:rsidR="006C57F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technologies.</w:t>
      </w:r>
    </w:p>
    <w:p w14:paraId="5B565B0D" w14:textId="77777777" w:rsidR="00514F19" w:rsidRDefault="00514F19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3EE0D4E8" w14:textId="3F527EE2" w:rsidR="00217692" w:rsidRDefault="00DA05FD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 ‘Stakeholder Engagement and Consultation Report’ </w:t>
      </w:r>
      <w:r w:rsidR="000D2E9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detailed a qualitative and quantitative analysis of</w:t>
      </w:r>
      <w:r w:rsidR="00EB0F0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39248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community’s </w:t>
      </w:r>
      <w:r w:rsidR="00F425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awareness of and sentiment toward</w:t>
      </w:r>
      <w:r w:rsidR="00A276F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F425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TSB. </w:t>
      </w:r>
      <w:r w:rsidR="008328C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results of the stakeholder engagement </w:t>
      </w:r>
      <w:r w:rsidR="000600E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investigation indicated that </w:t>
      </w:r>
      <w:r w:rsidR="006413D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overall,</w:t>
      </w:r>
      <w:r w:rsidR="000600E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local community believes that TSB</w:t>
      </w:r>
      <w:r w:rsidR="00873E7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is effective at sand</w:t>
      </w:r>
      <w:r w:rsidR="00B3515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management within the entrance and </w:t>
      </w:r>
      <w:r w:rsidR="0054100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on local beaches</w:t>
      </w:r>
      <w:r w:rsidR="00A276F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(Figure 2)</w:t>
      </w:r>
      <w:r w:rsidR="006413D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46A61E58" w14:textId="77777777" w:rsidR="009034E8" w:rsidRDefault="009034E8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44180ADD" w14:textId="7EEECDCD" w:rsidR="009034E8" w:rsidRDefault="009034E8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noProof/>
        </w:rPr>
        <w:drawing>
          <wp:inline distT="0" distB="0" distL="0" distR="0" wp14:anchorId="4D8EB957" wp14:editId="31AB5CD2">
            <wp:extent cx="2917322" cy="12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17322" cy="12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2F474" w14:textId="4002EB36" w:rsidR="009034E8" w:rsidRDefault="00C80B18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noProof/>
        </w:rPr>
        <w:drawing>
          <wp:inline distT="0" distB="0" distL="0" distR="0" wp14:anchorId="4B065804" wp14:editId="1614A4CE">
            <wp:extent cx="2916000" cy="11887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16000" cy="1188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84AE6" w14:textId="64D2F0BC" w:rsidR="009034E8" w:rsidRDefault="008077CB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Fig</w:t>
      </w:r>
      <w:r>
        <w:rPr>
          <w:rFonts w:ascii="Microsoft Sans Serif" w:eastAsia="Microsoft Sans Serif" w:hAnsi="Microsoft Sans Serif" w:cs="Microsoft Sans Serif"/>
          <w:spacing w:val="-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>e 2 –</w:t>
      </w:r>
      <w:r>
        <w:rPr>
          <w:rFonts w:ascii="Microsoft Sans Serif" w:eastAsia="Microsoft Sans Serif" w:hAnsi="Microsoft Sans Serif" w:cs="Microsoft Sans Serif"/>
          <w:spacing w:val="44"/>
          <w:sz w:val="17"/>
          <w:szCs w:val="17"/>
        </w:rPr>
        <w:t xml:space="preserve"> </w:t>
      </w:r>
      <w:r w:rsidR="00684E60">
        <w:rPr>
          <w:rFonts w:ascii="Microsoft Sans Serif" w:eastAsia="Microsoft Sans Serif" w:hAnsi="Microsoft Sans Serif" w:cs="Microsoft Sans Serif"/>
          <w:spacing w:val="44"/>
          <w:sz w:val="17"/>
          <w:szCs w:val="17"/>
        </w:rPr>
        <w:t>The T</w:t>
      </w:r>
      <w:r w:rsidR="00566BF5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weed River entrance and southern Gold Coast beaches </w:t>
      </w:r>
      <w:r w:rsidR="00274863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pre-TSB (1982, top) </w:t>
      </w:r>
      <w:r w:rsidR="00BD3362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contrasted against </w:t>
      </w:r>
      <w:r w:rsidR="00684E60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the current coastal environment (2021, bottom)</w:t>
      </w:r>
    </w:p>
    <w:p w14:paraId="3E14E532" w14:textId="77777777" w:rsidR="009034E8" w:rsidRDefault="009034E8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17CF5B3E" w14:textId="7BCBB106" w:rsidR="00541000" w:rsidRDefault="00DD485C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conclusion of Phase 1 was development of </w:t>
      </w:r>
      <w:r w:rsidR="0054375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summary report</w:t>
      </w:r>
      <w:r w:rsidR="00AB307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 preparation for future options identification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 Th</w:t>
      </w:r>
      <w:r w:rsidR="00AB307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 summary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report </w:t>
      </w:r>
      <w:r w:rsidR="00FA023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identified interdependencies between </w:t>
      </w:r>
      <w:r w:rsidR="003D038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workstreams described</w:t>
      </w:r>
      <w:r w:rsidR="009211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 each specialist report</w:t>
      </w:r>
      <w:r w:rsidR="004B3E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outlined the key </w:t>
      </w:r>
      <w:r w:rsidR="00C870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considerations for the Phase 2 analysis.</w:t>
      </w:r>
      <w:r w:rsidR="00DF007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report also </w:t>
      </w:r>
      <w:r w:rsidR="00B454E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provided recommendations for environmental and approval matters, and</w:t>
      </w:r>
      <w:r w:rsidR="00DC7A3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tasks to be completed prior to handover</w:t>
      </w:r>
      <w:r w:rsidR="0041161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250321CE" w14:textId="77777777" w:rsidR="00F03137" w:rsidRDefault="00F03137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1E6D4FBE" w14:textId="5C6F47EF" w:rsidR="003C364D" w:rsidRDefault="00DC61BE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PHASE 2: </w:t>
      </w:r>
      <w:r w:rsidR="003C364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OPTION</w:t>
      </w:r>
      <w:r w:rsidR="00AD358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3C364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IDENTIFICATION</w:t>
      </w:r>
      <w:r w:rsidR="00473FA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(July 2020 to November 2021</w:t>
      </w:r>
      <w:r w:rsidR="00BF37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</w:p>
    <w:p w14:paraId="6046ACE8" w14:textId="09518A41" w:rsidR="0052431A" w:rsidRDefault="00041172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Phase 2 consisted of options identification and evaluation.</w:t>
      </w:r>
      <w:r w:rsidR="00D043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 shortlist of Infrastructure, Governance and Contract options were </w:t>
      </w:r>
      <w:r w:rsidR="00D8753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developed,</w:t>
      </w:r>
      <w:r w:rsidR="006D1D5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o</w:t>
      </w:r>
      <w:r w:rsidR="0052431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ptions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were subjected to financial, risk and impact assessments</w:t>
      </w:r>
      <w:r w:rsidR="00E671D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</w:t>
      </w:r>
      <w:proofErr w:type="spellStart"/>
      <w:r w:rsidR="00E671D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Cardno</w:t>
      </w:r>
      <w:proofErr w:type="spellEnd"/>
      <w:r w:rsidR="00E671D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2021)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29A356E3" w14:textId="77777777" w:rsidR="0052431A" w:rsidRDefault="0052431A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66C89914" w14:textId="7D6B18BE" w:rsidR="00567189" w:rsidRDefault="000338F9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</w:t>
      </w:r>
      <w:r w:rsidR="009643E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nfrastructure options were split into </w:t>
      </w:r>
      <w:r w:rsidR="00BE14C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three categories: Base case; modifications and improvements</w:t>
      </w:r>
      <w:r w:rsidR="00B95B0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 </w:t>
      </w:r>
      <w:r w:rsidR="005E39E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existing</w:t>
      </w:r>
      <w:r w:rsidR="00B95B0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operations; and alternatives to current operations. </w:t>
      </w:r>
      <w:r w:rsidR="00CF293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infrastructure options </w:t>
      </w:r>
      <w:r w:rsidR="000E69F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longlist of 16 options </w:t>
      </w:r>
      <w:r w:rsidR="00345B0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was evaluated</w:t>
      </w:r>
      <w:r w:rsidR="001E620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345B0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resulting in 4 </w:t>
      </w:r>
      <w:r w:rsidR="00B4798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candidates.</w:t>
      </w:r>
      <w:r w:rsidR="0002577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9F2F4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Examples of</w:t>
      </w:r>
      <w:r w:rsidR="00F05CC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DC14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improvement</w:t>
      </w:r>
      <w:r w:rsidR="00D3641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 to the system include</w:t>
      </w:r>
      <w:r w:rsidR="00DC14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proofErr w:type="spellStart"/>
      <w:r w:rsidR="00603D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optimi</w:t>
      </w:r>
      <w:r w:rsidR="00C0547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603D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ation</w:t>
      </w:r>
      <w:proofErr w:type="spellEnd"/>
      <w:r w:rsidR="00603D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jet pump sequencing and increasing sand slurry density, while </w:t>
      </w:r>
      <w:r w:rsidR="005A6E7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construction of </w:t>
      </w:r>
      <w:r w:rsidR="003A44F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an offshore breakwater </w:t>
      </w:r>
      <w:r w:rsidR="009F2F4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with a dredged sand trap</w:t>
      </w:r>
      <w:r w:rsidR="0034312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wa</w:t>
      </w:r>
      <w:r w:rsidR="009F2F4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 </w:t>
      </w:r>
      <w:r w:rsidR="00603D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 example of an alternative</w:t>
      </w:r>
      <w:r w:rsidR="00F05CC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system</w:t>
      </w:r>
      <w:r w:rsidR="009F2F4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operation.</w:t>
      </w:r>
      <w:r w:rsidR="00D3641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FE58D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shortlist comprised of the Base Case, </w:t>
      </w:r>
      <w:r w:rsidR="00B007D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Base Case with Improvements, Jetty Extension and Additional Jet Pumps, and Restar</w:t>
      </w:r>
      <w:r w:rsidR="002538E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ting Jet Pump 1 (an existing shoreward jet pump).</w:t>
      </w:r>
      <w:r w:rsidR="003250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7A3C0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Base Case was selected as the </w:t>
      </w:r>
      <w:r w:rsidR="00CB0C7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preferred Infrastructure option. Other options were discarded through the financial assessment, and</w:t>
      </w:r>
      <w:r w:rsidR="007F086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recognition that some improvement can be implemented </w:t>
      </w:r>
      <w:proofErr w:type="gramStart"/>
      <w:r w:rsidR="007F086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at a later date</w:t>
      </w:r>
      <w:proofErr w:type="gramEnd"/>
      <w:r w:rsidR="007F086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7F086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lastRenderedPageBreak/>
        <w:t>following additional investigation.</w:t>
      </w:r>
      <w:r w:rsidR="00E413B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90156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For </w:t>
      </w:r>
      <w:proofErr w:type="gramStart"/>
      <w:r w:rsidR="0090156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example</w:t>
      </w:r>
      <w:proofErr w:type="gramEnd"/>
      <w:r w:rsidR="0090156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</w:t>
      </w:r>
      <w:r w:rsidR="00E413B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daptation to future projected climate change </w:t>
      </w:r>
      <w:r w:rsidR="00743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is an important operational consideration that </w:t>
      </w:r>
      <w:r w:rsidR="00F60B4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will not be </w:t>
      </w:r>
      <w:r w:rsidR="0090156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constrained under the preferred option.</w:t>
      </w:r>
    </w:p>
    <w:p w14:paraId="63EE00EB" w14:textId="77777777" w:rsidR="00D04357" w:rsidRDefault="00D04357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71FEA800" w14:textId="7383B9A7" w:rsidR="007F086E" w:rsidRDefault="003C0657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Governance options </w:t>
      </w:r>
      <w:r w:rsidR="008F50B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were shortlisted to four out of</w:t>
      </w:r>
      <w:r w:rsidR="0098672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seven initially </w:t>
      </w:r>
      <w:r w:rsidR="008F50B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identified.</w:t>
      </w:r>
      <w:r w:rsidR="005E39E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These include </w:t>
      </w:r>
      <w:r w:rsidR="005B014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Base Case (continue existing governance arrangements</w:t>
      </w:r>
      <w:r w:rsidR="002D35E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between the Governments</w:t>
      </w:r>
      <w:r w:rsidR="005B014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); </w:t>
      </w:r>
      <w:r w:rsidR="0076218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Base Case with Improvements such as amending legislatio</w:t>
      </w:r>
      <w:r w:rsidR="0081200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 to add a strategic focus</w:t>
      </w:r>
      <w:r w:rsidR="0076218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</w:t>
      </w:r>
      <w:proofErr w:type="spellStart"/>
      <w:r w:rsidR="0076218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formali</w:t>
      </w:r>
      <w:r w:rsidR="00E5567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76218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ing</w:t>
      </w:r>
      <w:proofErr w:type="spellEnd"/>
      <w:r w:rsidR="0076218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local gove</w:t>
      </w:r>
      <w:r w:rsidR="00E15C1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rnment representation; </w:t>
      </w:r>
      <w:r w:rsidR="00E24FD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</w:t>
      </w:r>
      <w:r w:rsidR="00E15C1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stablishment of a New State Authority; and </w:t>
      </w:r>
      <w:r w:rsidR="00DE6B5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establishment of a New Corporations Act Company.</w:t>
      </w:r>
      <w:r w:rsidR="00F87A0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Base Case was selected as the preferred Governance </w:t>
      </w:r>
      <w:r w:rsidR="000E311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option. </w:t>
      </w:r>
    </w:p>
    <w:p w14:paraId="0BC0C836" w14:textId="77777777" w:rsidR="00525CD1" w:rsidRDefault="00525CD1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4BCB4827" w14:textId="1CE6A39A" w:rsidR="00525CD1" w:rsidRDefault="00525CD1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Contract options </w:t>
      </w:r>
      <w:r w:rsidR="0054720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were simply split into</w:t>
      </w:r>
      <w:r w:rsidR="000D3D1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two categories, Base Case</w:t>
      </w:r>
      <w:r w:rsidR="00437B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(extension of current </w:t>
      </w:r>
      <w:r w:rsidR="0035351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Concession Agreement</w:t>
      </w:r>
      <w:r w:rsidR="00437B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  <w:r w:rsidR="000D3D1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Alternatives to Current </w:t>
      </w:r>
      <w:r w:rsidR="0035351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Concession Agreement</w:t>
      </w:r>
      <w:r w:rsidR="000D3D1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="00B967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Contract </w:t>
      </w:r>
      <w:r w:rsidR="009739C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options relate to the day-to-day </w:t>
      </w:r>
      <w:r w:rsidR="000D2DC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operational control of the sand transfer system, responsibility for maintenance, </w:t>
      </w:r>
      <w:r w:rsidR="007E45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asset management, </w:t>
      </w:r>
      <w:r w:rsidR="00DE548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major and minor contract </w:t>
      </w:r>
      <w:r w:rsidR="009305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administration,</w:t>
      </w:r>
      <w:r w:rsidR="00DE548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</w:t>
      </w:r>
      <w:r w:rsidR="000122F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7114A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resourcing of operational staff</w:t>
      </w:r>
      <w:r w:rsidR="007E45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3267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Options included the Base Case; a New Public Private Partnership (</w:t>
      </w:r>
      <w:r w:rsidR="00115C4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PPP); D&amp;C </w:t>
      </w:r>
      <w:r w:rsidR="00C3280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short-term</w:t>
      </w:r>
      <w:r w:rsidR="00115C4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contracting; DCM integrated </w:t>
      </w:r>
      <w:r w:rsidR="00373BC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delivery and operations contract; </w:t>
      </w:r>
      <w:r w:rsidR="008F2C8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GCSSB</w:t>
      </w:r>
      <w:r w:rsidR="00373BC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contract; and Government oversight of delivery.</w:t>
      </w:r>
      <w:r w:rsidR="00EE63F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financial assessment discarded </w:t>
      </w:r>
      <w:r w:rsidR="00DD570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most options</w:t>
      </w:r>
      <w:r w:rsidR="003224B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and the preferred Contract option select</w:t>
      </w:r>
      <w:r w:rsidR="009305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ed</w:t>
      </w:r>
      <w:r w:rsidR="003224B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was Government oversight</w:t>
      </w:r>
      <w:r w:rsidR="00C3280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delivery</w:t>
      </w:r>
      <w:r w:rsidR="0085167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(practica</w:t>
      </w:r>
      <w:r w:rsidR="005F51E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 implication is three new government operational staff to undertake operations and maintenance</w:t>
      </w:r>
      <w:r w:rsidR="00E72E1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with the support of the existing TSB government team</w:t>
      </w:r>
      <w:r w:rsidR="005F51E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  <w:r w:rsidR="00C3280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51C37C2F" w14:textId="77777777" w:rsidR="007F086E" w:rsidRDefault="007F086E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0419ED18" w14:textId="337BF2EA" w:rsidR="00041172" w:rsidRDefault="00EF077C" w:rsidP="008643CF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Combinations of </w:t>
      </w:r>
      <w:r w:rsidR="00525CE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all options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56784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(Infrastructure, Governance and Contracts)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were </w:t>
      </w:r>
      <w:r w:rsidR="0098672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ranked,</w:t>
      </w:r>
      <w:r w:rsidR="00996F1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</w:t>
      </w:r>
      <w:r w:rsidR="0078533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6E2D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</w:t>
      </w:r>
      <w:r w:rsidR="00996F1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he preferred option represent</w:t>
      </w:r>
      <w:r w:rsidR="006E2D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ed</w:t>
      </w:r>
      <w:r w:rsidR="00996F1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</w:t>
      </w:r>
      <w:r w:rsidR="00525CE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lowest Net Present Cost</w:t>
      </w:r>
      <w:r w:rsidR="0098449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without risks above the </w:t>
      </w:r>
      <w:r w:rsidR="00795C9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risk </w:t>
      </w:r>
      <w:r w:rsidR="0098449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assessment threshold</w:t>
      </w:r>
      <w:r w:rsidR="00525CE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C0245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8643CF" w:rsidRPr="008643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Sensitivity testing</w:t>
      </w:r>
      <w:r w:rsidR="008643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was </w:t>
      </w:r>
      <w:r w:rsidR="008643CF" w:rsidRPr="008643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completed</w:t>
      </w:r>
      <w:r w:rsidR="008643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A5725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for all combinations and </w:t>
      </w:r>
      <w:r w:rsidR="008643CF" w:rsidRPr="008643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no major changes to outcomes</w:t>
      </w:r>
      <w:r w:rsidR="00A5725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were identified. </w:t>
      </w:r>
      <w:r w:rsidR="00372E6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It is expected that under the preferred option there will be a</w:t>
      </w:r>
      <w:r w:rsidR="008643CF" w:rsidRPr="008643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reduction in ongoing expenditure</w:t>
      </w:r>
      <w:r w:rsidR="00372E6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</w:t>
      </w:r>
      <w:r w:rsidR="005334F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 i</w:t>
      </w:r>
      <w:r w:rsidR="008643CF" w:rsidRPr="008643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ncrease</w:t>
      </w:r>
      <w:r w:rsidR="005334F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 operational </w:t>
      </w:r>
      <w:r w:rsidR="008643CF" w:rsidRPr="008643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flexibility</w:t>
      </w:r>
      <w:r w:rsidR="005334F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i</w:t>
      </w:r>
      <w:r w:rsidR="008643CF" w:rsidRPr="008643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mproved integration of operations and management</w:t>
      </w:r>
      <w:r w:rsidR="005334F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and </w:t>
      </w:r>
      <w:r w:rsidR="00BB40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there will be n</w:t>
      </w:r>
      <w:r w:rsidR="008643CF" w:rsidRPr="008643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 constraints under the preferred option to pursue improvements</w:t>
      </w:r>
      <w:r w:rsidR="0018086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</w:t>
      </w:r>
      <w:r w:rsidR="00795C9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</w:t>
      </w:r>
      <w:r w:rsidR="0018086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nfrastructure or </w:t>
      </w:r>
      <w:r w:rsidR="00795C9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</w:t>
      </w:r>
      <w:r w:rsidR="0018086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overnance)</w:t>
      </w:r>
      <w:r w:rsidR="00A5725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CE429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2F49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preferred option </w:t>
      </w:r>
      <w:r w:rsidR="00C30FC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will see the continued operation of </w:t>
      </w:r>
      <w:r w:rsidR="00795C9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0716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sand transfer system</w:t>
      </w:r>
      <w:r w:rsidR="006C51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</w:t>
      </w:r>
      <w:r w:rsidR="005C17F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existing governance </w:t>
      </w:r>
      <w:r w:rsidR="0098449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arrangements</w:t>
      </w:r>
      <w:r w:rsidR="005C17F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continue, and Government overseeing delivery and contracting of TSB.</w:t>
      </w:r>
    </w:p>
    <w:p w14:paraId="71A95203" w14:textId="6614AF35" w:rsidR="00041172" w:rsidRDefault="00041172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591500A5" w14:textId="571F0204" w:rsidR="00AD358E" w:rsidRDefault="00AD358E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PHASE 3: </w:t>
      </w:r>
      <w:r w:rsidR="00B5462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PREFERED OPTION PREP</w:t>
      </w:r>
      <w:r w:rsidR="006E6A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</w:t>
      </w:r>
      <w:r w:rsidR="00B5462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RATION</w:t>
      </w:r>
      <w:r w:rsidR="001559A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(July 2021 to April 2023)</w:t>
      </w:r>
    </w:p>
    <w:p w14:paraId="204BAD0F" w14:textId="1888639F" w:rsidR="00B5462E" w:rsidRDefault="00041172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Phase 3 is underway and includes preparation for implementation of the preferred option. There are a significant number of tasks </w:t>
      </w:r>
      <w:r w:rsidR="00C05B8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to be completed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across a </w:t>
      </w:r>
      <w:r w:rsidR="00C05B8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variety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fields ranging from approvals, systems, resourcing, asset management and procurement.</w:t>
      </w:r>
    </w:p>
    <w:p w14:paraId="41E22A35" w14:textId="77777777" w:rsidR="00A7539A" w:rsidRDefault="00A7539A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213CA975" w14:textId="5B9D40B2" w:rsidR="00B83E4B" w:rsidRDefault="00E85B18" w:rsidP="00BA458F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 draft TSB s</w:t>
      </w:r>
      <w:r w:rsidR="00A7539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trategy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has been developed and sets out the key themes for the period 2024 to 2029.</w:t>
      </w:r>
      <w:r w:rsidR="0000237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strategy references outcomes, measures and actions and will guide </w:t>
      </w:r>
      <w:r w:rsidR="001212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all TSB activities for that </w:t>
      </w:r>
      <w:proofErr w:type="gramStart"/>
      <w:r w:rsidR="001212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time period</w:t>
      </w:r>
      <w:proofErr w:type="gramEnd"/>
      <w:r w:rsidR="00B83E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C909B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B83E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strategy falls within a hierarch</w:t>
      </w:r>
      <w:r w:rsidR="00CE2B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y</w:t>
      </w:r>
      <w:r w:rsidR="00B83E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documents that includes </w:t>
      </w:r>
      <w:r w:rsidR="00B83E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Objectives</w:t>
      </w:r>
      <w:r w:rsidR="001212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(Acts, Vision </w:t>
      </w:r>
      <w:proofErr w:type="spellStart"/>
      <w:r w:rsidR="001212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etc</w:t>
      </w:r>
      <w:proofErr w:type="spellEnd"/>
      <w:r w:rsidR="001212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  <w:r w:rsidR="00B83E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Strategy</w:t>
      </w:r>
      <w:r w:rsidR="001212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</w:t>
      </w:r>
      <w:r w:rsidR="00ED756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Themes and priorities)</w:t>
      </w:r>
      <w:r w:rsidR="00B83E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Plans</w:t>
      </w:r>
      <w:r w:rsidR="00ED756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(how and when)</w:t>
      </w:r>
      <w:r w:rsidR="00B83E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Procedures</w:t>
      </w:r>
      <w:r w:rsidR="00ED756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(how)</w:t>
      </w:r>
      <w:r w:rsidR="00B83E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and Supporting Information</w:t>
      </w:r>
      <w:r w:rsidR="00ED756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(specifications, drawings, checklists, registers, </w:t>
      </w:r>
      <w:r w:rsidR="00BF6D3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forms etc.)</w:t>
      </w:r>
      <w:r w:rsidR="00B83E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To </w:t>
      </w:r>
      <w:proofErr w:type="spellStart"/>
      <w:r w:rsidR="00CE2B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</w:t>
      </w:r>
      <w:r w:rsidR="00B83E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ormalise</w:t>
      </w:r>
      <w:proofErr w:type="spellEnd"/>
      <w:r w:rsidR="00B83E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this arrangement</w:t>
      </w:r>
      <w:r w:rsidR="000C6FE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</w:t>
      </w:r>
      <w:r w:rsidR="0079309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subsequent</w:t>
      </w:r>
      <w:r w:rsidR="000C6FE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suite of documents</w:t>
      </w:r>
      <w:r w:rsidR="00CE2B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B83E4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 TSB Management system is being developed that </w:t>
      </w:r>
      <w:r w:rsidR="00B9694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maps the </w:t>
      </w:r>
      <w:r w:rsidR="00CE2B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location and hi</w:t>
      </w:r>
      <w:r w:rsidR="002C117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</w:t>
      </w:r>
      <w:r w:rsidR="00CE2B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rarchy of all documents that are required to operate</w:t>
      </w:r>
      <w:r w:rsidR="000C6FE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CE2B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proofErr w:type="gramStart"/>
      <w:r w:rsidR="00CE2B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maintain</w:t>
      </w:r>
      <w:proofErr w:type="gramEnd"/>
      <w:r w:rsidR="00CE2B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0C6FE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and administer</w:t>
      </w:r>
      <w:r w:rsidR="00BA458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CE2B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TSB. </w:t>
      </w:r>
      <w:r w:rsidR="006F6B0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production of the documents that will comprise the TSB Management system is </w:t>
      </w:r>
      <w:r w:rsidR="006055B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underway and consists of </w:t>
      </w:r>
      <w:r w:rsidR="0079309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transfer</w:t>
      </w:r>
      <w:r w:rsidR="006055B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existing documentation from the </w:t>
      </w:r>
      <w:r w:rsidR="0079309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Operator</w:t>
      </w:r>
      <w:r w:rsidR="006055B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(where applicable) along with the drafting of new documentation as required.</w:t>
      </w:r>
    </w:p>
    <w:p w14:paraId="69A972E5" w14:textId="77777777" w:rsidR="00051974" w:rsidRDefault="00051974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1ED75FBF" w14:textId="27197C48" w:rsidR="00051974" w:rsidRDefault="00051974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Along with the above work, significant effort is being applied to the transfer</w:t>
      </w:r>
      <w:r w:rsidR="006365A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and/or </w:t>
      </w:r>
      <w:r w:rsidR="0007121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establishment</w:t>
      </w:r>
      <w:r w:rsidR="006365A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</w:t>
      </w:r>
      <w:r w:rsidR="0007121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various items</w:t>
      </w:r>
      <w:r w:rsidR="006365A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including land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access</w:t>
      </w:r>
      <w:r w:rsidR="0007121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arrangements</w:t>
      </w:r>
      <w:r w:rsidR="006365A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approvals, permits</w:t>
      </w:r>
      <w:r w:rsidR="006365A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environmental management, asset handover</w:t>
      </w:r>
      <w:r w:rsidR="003920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staffing, IT</w:t>
      </w:r>
      <w:r w:rsidR="001559A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3920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proofErr w:type="gramStart"/>
      <w:r w:rsidR="003920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procurement</w:t>
      </w:r>
      <w:proofErr w:type="gramEnd"/>
      <w:r w:rsidR="001559A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contract administration</w:t>
      </w:r>
      <w:r w:rsidR="003920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</w:p>
    <w:p w14:paraId="77F56F01" w14:textId="77777777" w:rsidR="00B5462E" w:rsidRDefault="00B5462E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5CED91CE" w14:textId="7C3101AE" w:rsidR="00B5462E" w:rsidRDefault="00B5462E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PHASE 4: IMPLEMENTATION OF NEW SYSTEM</w:t>
      </w:r>
      <w:r w:rsidR="001559A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(April 2023 to September 2024).</w:t>
      </w:r>
    </w:p>
    <w:p w14:paraId="59D8D803" w14:textId="6291575F" w:rsidR="001D1003" w:rsidRDefault="00C21996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Following completion of Phase 3, </w:t>
      </w:r>
      <w:r w:rsidR="00041172"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Phase </w:t>
      </w:r>
      <w:r w:rsidR="00041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4</w:t>
      </w:r>
      <w:r w:rsidR="00041172" w:rsidRPr="0063452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will </w:t>
      </w:r>
      <w:r w:rsidR="00FF655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encompass </w:t>
      </w:r>
      <w:r w:rsidR="001559A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041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implementation of the new system</w:t>
      </w:r>
      <w:r w:rsidR="001559A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041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1D100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It will involve implementation of </w:t>
      </w:r>
      <w:r w:rsidR="004F7DB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work completed in Phase 3 and the formal transition out of the Concession Agreement into the new operating model.</w:t>
      </w:r>
    </w:p>
    <w:p w14:paraId="352E974E" w14:textId="77777777" w:rsidR="001D1003" w:rsidRDefault="001D1003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372EA945" w14:textId="27727B85" w:rsidR="00C83DE8" w:rsidRDefault="00F93C4C" w:rsidP="0004117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Successful completion of the Transition Project will ensure that the local coastal environment and the Tweed River entrance will continue to be effectively managed into the future. </w:t>
      </w:r>
      <w:r w:rsidR="00982DB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p</w:t>
      </w:r>
      <w:r w:rsidR="00BC0B0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rogress</w:t>
      </w:r>
      <w:r w:rsidR="00291E6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ion </w:t>
      </w:r>
      <w:r w:rsidR="0016529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of</w:t>
      </w:r>
      <w:r w:rsidR="00291E6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</w:t>
      </w:r>
      <w:r w:rsidR="00BC0B0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he </w:t>
      </w:r>
      <w:r w:rsidR="00056B7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Transition Project </w:t>
      </w:r>
      <w:r w:rsidR="00BC0B0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and completion of Phases 1</w:t>
      </w:r>
      <w:r w:rsidR="00C738B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BC0B0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&amp;</w:t>
      </w:r>
      <w:r w:rsidR="00C738B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BC0B0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2 </w:t>
      </w:r>
      <w:r w:rsidR="00782EE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has highlighted the </w:t>
      </w:r>
      <w:r w:rsidR="00FE393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successes of TSB to date. </w:t>
      </w:r>
      <w:r w:rsidR="00DB00B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C738B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positive </w:t>
      </w:r>
      <w:r w:rsidR="00DB00B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findings </w:t>
      </w:r>
      <w:r w:rsidR="00BD69F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ensure that there is confidence in the current operation of the </w:t>
      </w:r>
      <w:r w:rsidR="00982DB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system and</w:t>
      </w:r>
      <w:r w:rsidR="00502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02129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demonstrates </w:t>
      </w:r>
      <w:r w:rsidR="00502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that Government agencies across state borders and at </w:t>
      </w:r>
      <w:r w:rsidR="0002129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various levels can work together to </w:t>
      </w:r>
      <w:r w:rsidR="00D3683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manage a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long-term</w:t>
      </w:r>
      <w:r w:rsidR="00D3683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coastal management initiative.</w:t>
      </w:r>
      <w:r w:rsidR="00163FD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partnership with the private sector has also been largely </w:t>
      </w:r>
      <w:r w:rsidR="00C76EF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successful </w:t>
      </w:r>
      <w:r w:rsidR="00111D8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when </w:t>
      </w:r>
      <w:r w:rsidR="00C76EF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considering the</w:t>
      </w:r>
      <w:r w:rsidR="009318C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difficulty in</w:t>
      </w:r>
      <w:r w:rsidR="00C76EF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4C3A5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establishing</w:t>
      </w:r>
      <w:r w:rsidR="006A688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continuing to deliver</w:t>
      </w:r>
      <w:r w:rsidR="004C3A5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 operation</w:t>
      </w:r>
      <w:r w:rsidR="00980F1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B37B1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as </w:t>
      </w:r>
      <w:r w:rsidR="00980F1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complex </w:t>
      </w:r>
      <w:r w:rsidR="00B37B1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as</w:t>
      </w:r>
      <w:r w:rsidR="00980F1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TSB</w:t>
      </w:r>
      <w:r w:rsidR="000369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 A</w:t>
      </w:r>
      <w:r w:rsidR="00C76EF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lthough</w:t>
      </w:r>
      <w:r w:rsidR="00B37B1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9318C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there have been challenges working</w:t>
      </w:r>
      <w:r w:rsidR="008B0CF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within the long-term </w:t>
      </w:r>
      <w:r w:rsidR="000369C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contractual </w:t>
      </w:r>
      <w:r w:rsidR="008B0CF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arrangement</w:t>
      </w:r>
      <w:r w:rsidR="00111D8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6A688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all parties have been able to make it work</w:t>
      </w:r>
      <w:r w:rsidR="00686D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982DB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even </w:t>
      </w:r>
      <w:r w:rsidR="00686D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as the </w:t>
      </w:r>
      <w:r w:rsidR="002E6AC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coastal </w:t>
      </w:r>
      <w:r w:rsidR="00686D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environment and community expectations have evolved.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D83DD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Under the preferred operating model post 2024, TSB will be able to respond to these changes </w:t>
      </w:r>
      <w:r w:rsidR="006E3B6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more readily to ensure project objectives continue to be met </w:t>
      </w:r>
      <w:r w:rsidR="00E351F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to benefit the coastal environment and local community.</w:t>
      </w:r>
    </w:p>
    <w:p w14:paraId="5E913D0B" w14:textId="77777777" w:rsidR="007049AC" w:rsidRPr="00A2442E" w:rsidRDefault="007049AC" w:rsidP="00A2442E">
      <w:pPr>
        <w:spacing w:after="0" w:line="240" w:lineRule="auto"/>
        <w:rPr>
          <w:szCs w:val="20"/>
        </w:rPr>
      </w:pPr>
    </w:p>
    <w:p w14:paraId="4B553422" w14:textId="77777777" w:rsidR="00FA1E68" w:rsidRPr="00A2442E" w:rsidRDefault="008B6510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>F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A2442E">
        <w:rPr>
          <w:rFonts w:ascii="Microsoft Sans Serif" w:eastAsia="Microsoft Sans Serif" w:hAnsi="Microsoft Sans Serif" w:cs="Microsoft Sans Serif"/>
          <w:spacing w:val="-2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N</w:t>
      </w:r>
      <w:r w:rsidRPr="00A2442E">
        <w:rPr>
          <w:rFonts w:ascii="Microsoft Sans Serif" w:eastAsia="Microsoft Sans Serif" w:hAnsi="Microsoft Sans Serif" w:cs="Microsoft Sans Serif"/>
          <w:spacing w:val="-2"/>
          <w:w w:val="103"/>
          <w:sz w:val="18"/>
          <w:szCs w:val="17"/>
        </w:rPr>
        <w:t>C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S</w:t>
      </w:r>
    </w:p>
    <w:p w14:paraId="2F5C20EA" w14:textId="00448A60" w:rsidR="00097005" w:rsidRDefault="00097005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proofErr w:type="spellStart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Cardno</w:t>
      </w:r>
      <w:proofErr w:type="spellEnd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(2021): Phase 2 Options Report, </w:t>
      </w:r>
      <w:r w:rsidR="00B974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Prepared for Tweed Sand Bypassing</w:t>
      </w:r>
    </w:p>
    <w:p w14:paraId="5C91B544" w14:textId="2B0D1144" w:rsidR="00FB398B" w:rsidRDefault="00FB398B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proofErr w:type="spellStart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Clausner</w:t>
      </w:r>
      <w:proofErr w:type="spellEnd"/>
      <w:r w:rsidR="00A8710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(1989): Jetty Sand Bypassing </w:t>
      </w:r>
      <w:proofErr w:type="spellStart"/>
      <w:r w:rsidR="00A8710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Nerang</w:t>
      </w:r>
      <w:proofErr w:type="spellEnd"/>
      <w:r w:rsidR="00A8710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River Entrance, </w:t>
      </w:r>
      <w:r w:rsidR="005930F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US Army Engineer Waterways Experiment Station</w:t>
      </w:r>
    </w:p>
    <w:p w14:paraId="71E07DB7" w14:textId="49ACAB2B" w:rsidR="00FA1E68" w:rsidRDefault="00730E98" w:rsidP="00E136B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w w:val="102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Dyson, Lawson, Victory, </w:t>
      </w:r>
      <w:r w:rsidR="005370A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Connor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(2001): </w:t>
      </w:r>
      <w:r w:rsidR="001B2887" w:rsidRPr="001B288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Sand bypassing the Tweed River entrance: an overview</w:t>
      </w:r>
      <w:r w:rsidR="001B288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</w:t>
      </w:r>
      <w:r w:rsidR="001B2887" w:rsidRPr="001B2887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Proceedings of Coasts &amp; Ports 200</w:t>
      </w:r>
      <w:r w:rsidR="001B2887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1</w:t>
      </w:r>
      <w:r w:rsidR="001B2887" w:rsidRPr="001B2887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: 310-315</w:t>
      </w:r>
    </w:p>
    <w:p w14:paraId="084EA6C3" w14:textId="4E94C3E9" w:rsidR="0014134F" w:rsidRPr="00F2591A" w:rsidRDefault="0014134F" w:rsidP="00F2591A">
      <w:pPr>
        <w:rPr>
          <w:rFonts w:ascii="Microsoft Sans Serif" w:eastAsia="Microsoft Sans Serif" w:hAnsi="Microsoft Sans Serif" w:cs="Microsoft Sans Serif"/>
          <w:w w:val="102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</w:p>
    <w:sectPr w:rsidR="0014134F" w:rsidRPr="00F2591A" w:rsidSect="00400773">
      <w:type w:val="continuous"/>
      <w:pgSz w:w="12240" w:h="15840" w:code="1"/>
      <w:pgMar w:top="1440" w:right="1021" w:bottom="1440" w:left="1021" w:header="709" w:footer="709" w:gutter="0"/>
      <w:cols w:num="2" w:space="708" w:equalWidth="0">
        <w:col w:w="4567" w:space="687"/>
        <w:col w:w="460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E45F" w14:textId="77777777" w:rsidR="002616EC" w:rsidRDefault="002616EC" w:rsidP="0013413D">
      <w:pPr>
        <w:spacing w:after="0" w:line="240" w:lineRule="auto"/>
      </w:pPr>
      <w:r>
        <w:separator/>
      </w:r>
    </w:p>
  </w:endnote>
  <w:endnote w:type="continuationSeparator" w:id="0">
    <w:p w14:paraId="2AB0D831" w14:textId="77777777" w:rsidR="002616EC" w:rsidRDefault="002616EC" w:rsidP="0013413D">
      <w:pPr>
        <w:spacing w:after="0" w:line="240" w:lineRule="auto"/>
      </w:pPr>
      <w:r>
        <w:continuationSeparator/>
      </w:r>
    </w:p>
  </w:endnote>
  <w:endnote w:type="continuationNotice" w:id="1">
    <w:p w14:paraId="2C7A711B" w14:textId="77777777" w:rsidR="002616EC" w:rsidRDefault="002616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B09C" w14:textId="77777777" w:rsidR="002616EC" w:rsidRDefault="002616EC" w:rsidP="0013413D">
      <w:pPr>
        <w:spacing w:after="0" w:line="240" w:lineRule="auto"/>
      </w:pPr>
      <w:r>
        <w:separator/>
      </w:r>
    </w:p>
  </w:footnote>
  <w:footnote w:type="continuationSeparator" w:id="0">
    <w:p w14:paraId="2AD0D988" w14:textId="77777777" w:rsidR="002616EC" w:rsidRDefault="002616EC" w:rsidP="0013413D">
      <w:pPr>
        <w:spacing w:after="0" w:line="240" w:lineRule="auto"/>
      </w:pPr>
      <w:r>
        <w:continuationSeparator/>
      </w:r>
    </w:p>
  </w:footnote>
  <w:footnote w:type="continuationNotice" w:id="1">
    <w:p w14:paraId="176B1178" w14:textId="77777777" w:rsidR="002616EC" w:rsidRDefault="002616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50D"/>
    <w:multiLevelType w:val="hybridMultilevel"/>
    <w:tmpl w:val="4300E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03D08"/>
    <w:multiLevelType w:val="hybridMultilevel"/>
    <w:tmpl w:val="2EA00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63CC0"/>
    <w:multiLevelType w:val="hybridMultilevel"/>
    <w:tmpl w:val="C5282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772C1"/>
    <w:multiLevelType w:val="hybridMultilevel"/>
    <w:tmpl w:val="2D0C9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730206">
    <w:abstractNumId w:val="2"/>
  </w:num>
  <w:num w:numId="2" w16cid:durableId="1347099628">
    <w:abstractNumId w:val="0"/>
  </w:num>
  <w:num w:numId="3" w16cid:durableId="1863013815">
    <w:abstractNumId w:val="3"/>
  </w:num>
  <w:num w:numId="4" w16cid:durableId="205680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68"/>
    <w:rsid w:val="00002371"/>
    <w:rsid w:val="0000562A"/>
    <w:rsid w:val="00006711"/>
    <w:rsid w:val="00007FE8"/>
    <w:rsid w:val="000122F2"/>
    <w:rsid w:val="00013C5D"/>
    <w:rsid w:val="00015419"/>
    <w:rsid w:val="00021298"/>
    <w:rsid w:val="00022591"/>
    <w:rsid w:val="000230F0"/>
    <w:rsid w:val="0002577E"/>
    <w:rsid w:val="00027FE6"/>
    <w:rsid w:val="000338F9"/>
    <w:rsid w:val="000369CF"/>
    <w:rsid w:val="00041172"/>
    <w:rsid w:val="0004197A"/>
    <w:rsid w:val="00042B3C"/>
    <w:rsid w:val="0004394C"/>
    <w:rsid w:val="00045CD1"/>
    <w:rsid w:val="00051974"/>
    <w:rsid w:val="000523C8"/>
    <w:rsid w:val="00056B78"/>
    <w:rsid w:val="000600E1"/>
    <w:rsid w:val="00062759"/>
    <w:rsid w:val="000640EA"/>
    <w:rsid w:val="00071218"/>
    <w:rsid w:val="00071627"/>
    <w:rsid w:val="00072B6B"/>
    <w:rsid w:val="0009292D"/>
    <w:rsid w:val="0009452B"/>
    <w:rsid w:val="00097005"/>
    <w:rsid w:val="000A22A4"/>
    <w:rsid w:val="000C6FE0"/>
    <w:rsid w:val="000D2DC7"/>
    <w:rsid w:val="000D2E94"/>
    <w:rsid w:val="000D3D19"/>
    <w:rsid w:val="000D517C"/>
    <w:rsid w:val="000E311A"/>
    <w:rsid w:val="000E69FA"/>
    <w:rsid w:val="000F4258"/>
    <w:rsid w:val="000F67B3"/>
    <w:rsid w:val="000F6FCD"/>
    <w:rsid w:val="000F79B1"/>
    <w:rsid w:val="0011179E"/>
    <w:rsid w:val="00111D8B"/>
    <w:rsid w:val="00115C4A"/>
    <w:rsid w:val="00121276"/>
    <w:rsid w:val="0013413D"/>
    <w:rsid w:val="0013669A"/>
    <w:rsid w:val="0014134F"/>
    <w:rsid w:val="0015109E"/>
    <w:rsid w:val="00154313"/>
    <w:rsid w:val="001559AD"/>
    <w:rsid w:val="00163FDE"/>
    <w:rsid w:val="001649A8"/>
    <w:rsid w:val="00165299"/>
    <w:rsid w:val="00166100"/>
    <w:rsid w:val="00177688"/>
    <w:rsid w:val="00177D54"/>
    <w:rsid w:val="00180861"/>
    <w:rsid w:val="001818BA"/>
    <w:rsid w:val="00185976"/>
    <w:rsid w:val="001A0AF9"/>
    <w:rsid w:val="001A670E"/>
    <w:rsid w:val="001A7B76"/>
    <w:rsid w:val="001B2887"/>
    <w:rsid w:val="001D1003"/>
    <w:rsid w:val="001D47AE"/>
    <w:rsid w:val="001E6208"/>
    <w:rsid w:val="001E738C"/>
    <w:rsid w:val="001F066F"/>
    <w:rsid w:val="00205932"/>
    <w:rsid w:val="00217692"/>
    <w:rsid w:val="00220A2E"/>
    <w:rsid w:val="00243180"/>
    <w:rsid w:val="00245585"/>
    <w:rsid w:val="002538E3"/>
    <w:rsid w:val="002616EC"/>
    <w:rsid w:val="00271F89"/>
    <w:rsid w:val="00272E03"/>
    <w:rsid w:val="00274863"/>
    <w:rsid w:val="0027642E"/>
    <w:rsid w:val="002875FA"/>
    <w:rsid w:val="00291E6E"/>
    <w:rsid w:val="0029289E"/>
    <w:rsid w:val="00295688"/>
    <w:rsid w:val="002A0199"/>
    <w:rsid w:val="002C004C"/>
    <w:rsid w:val="002C1175"/>
    <w:rsid w:val="002C5FA8"/>
    <w:rsid w:val="002D35E1"/>
    <w:rsid w:val="002D4052"/>
    <w:rsid w:val="002D6046"/>
    <w:rsid w:val="002E6AC7"/>
    <w:rsid w:val="002F16D4"/>
    <w:rsid w:val="002F2B29"/>
    <w:rsid w:val="002F4972"/>
    <w:rsid w:val="003021B7"/>
    <w:rsid w:val="00303B24"/>
    <w:rsid w:val="0030642F"/>
    <w:rsid w:val="00314867"/>
    <w:rsid w:val="00315BB6"/>
    <w:rsid w:val="003224B0"/>
    <w:rsid w:val="003250DF"/>
    <w:rsid w:val="0032547D"/>
    <w:rsid w:val="003267A3"/>
    <w:rsid w:val="00343128"/>
    <w:rsid w:val="00345B02"/>
    <w:rsid w:val="00353510"/>
    <w:rsid w:val="0035380E"/>
    <w:rsid w:val="00372E6D"/>
    <w:rsid w:val="00373BCE"/>
    <w:rsid w:val="00376679"/>
    <w:rsid w:val="0038096F"/>
    <w:rsid w:val="0038693F"/>
    <w:rsid w:val="00390265"/>
    <w:rsid w:val="0039207D"/>
    <w:rsid w:val="00392480"/>
    <w:rsid w:val="003A44F2"/>
    <w:rsid w:val="003A677B"/>
    <w:rsid w:val="003B32DC"/>
    <w:rsid w:val="003C0657"/>
    <w:rsid w:val="003C14A8"/>
    <w:rsid w:val="003C364D"/>
    <w:rsid w:val="003D038D"/>
    <w:rsid w:val="003E0AB4"/>
    <w:rsid w:val="003E113C"/>
    <w:rsid w:val="003E5E81"/>
    <w:rsid w:val="003E6F72"/>
    <w:rsid w:val="003F130E"/>
    <w:rsid w:val="003F5BB4"/>
    <w:rsid w:val="00400773"/>
    <w:rsid w:val="0041161B"/>
    <w:rsid w:val="00425E25"/>
    <w:rsid w:val="00436A72"/>
    <w:rsid w:val="00437883"/>
    <w:rsid w:val="00437B11"/>
    <w:rsid w:val="0045023C"/>
    <w:rsid w:val="00465651"/>
    <w:rsid w:val="00473FAB"/>
    <w:rsid w:val="00480B4A"/>
    <w:rsid w:val="00493779"/>
    <w:rsid w:val="00493BD9"/>
    <w:rsid w:val="004A0762"/>
    <w:rsid w:val="004A4E84"/>
    <w:rsid w:val="004B3ECF"/>
    <w:rsid w:val="004B507D"/>
    <w:rsid w:val="004C3A5E"/>
    <w:rsid w:val="004D2121"/>
    <w:rsid w:val="004D6436"/>
    <w:rsid w:val="004E0A3E"/>
    <w:rsid w:val="004E5BC7"/>
    <w:rsid w:val="004F7DB0"/>
    <w:rsid w:val="0050205D"/>
    <w:rsid w:val="00502263"/>
    <w:rsid w:val="005072DF"/>
    <w:rsid w:val="00514F19"/>
    <w:rsid w:val="0052431A"/>
    <w:rsid w:val="00525343"/>
    <w:rsid w:val="00525CD1"/>
    <w:rsid w:val="00525CED"/>
    <w:rsid w:val="00530203"/>
    <w:rsid w:val="005303F3"/>
    <w:rsid w:val="005334FC"/>
    <w:rsid w:val="005363C1"/>
    <w:rsid w:val="005370AE"/>
    <w:rsid w:val="00541000"/>
    <w:rsid w:val="00543752"/>
    <w:rsid w:val="0054429B"/>
    <w:rsid w:val="0054720A"/>
    <w:rsid w:val="005577D4"/>
    <w:rsid w:val="00563B79"/>
    <w:rsid w:val="005649F5"/>
    <w:rsid w:val="00566BF5"/>
    <w:rsid w:val="00567189"/>
    <w:rsid w:val="00567842"/>
    <w:rsid w:val="0057312D"/>
    <w:rsid w:val="00575EBA"/>
    <w:rsid w:val="00586D0A"/>
    <w:rsid w:val="005930F7"/>
    <w:rsid w:val="00595D91"/>
    <w:rsid w:val="005A12DA"/>
    <w:rsid w:val="005A3F3C"/>
    <w:rsid w:val="005A5CD5"/>
    <w:rsid w:val="005A6E7C"/>
    <w:rsid w:val="005B0145"/>
    <w:rsid w:val="005B26A3"/>
    <w:rsid w:val="005B29A3"/>
    <w:rsid w:val="005C17F9"/>
    <w:rsid w:val="005C378E"/>
    <w:rsid w:val="005C40C7"/>
    <w:rsid w:val="005C5716"/>
    <w:rsid w:val="005D2E66"/>
    <w:rsid w:val="005E39E3"/>
    <w:rsid w:val="005E6C7D"/>
    <w:rsid w:val="005E6D57"/>
    <w:rsid w:val="005F09FF"/>
    <w:rsid w:val="005F4070"/>
    <w:rsid w:val="005F50D5"/>
    <w:rsid w:val="005F51EE"/>
    <w:rsid w:val="00603D74"/>
    <w:rsid w:val="00604131"/>
    <w:rsid w:val="0060488D"/>
    <w:rsid w:val="006055BB"/>
    <w:rsid w:val="0061205E"/>
    <w:rsid w:val="006365A6"/>
    <w:rsid w:val="00637787"/>
    <w:rsid w:val="0064029E"/>
    <w:rsid w:val="006413DB"/>
    <w:rsid w:val="00650717"/>
    <w:rsid w:val="00664458"/>
    <w:rsid w:val="006767B3"/>
    <w:rsid w:val="006809D6"/>
    <w:rsid w:val="006819FC"/>
    <w:rsid w:val="00681AE3"/>
    <w:rsid w:val="00682017"/>
    <w:rsid w:val="00684E60"/>
    <w:rsid w:val="00686D74"/>
    <w:rsid w:val="00691641"/>
    <w:rsid w:val="006A0801"/>
    <w:rsid w:val="006A3776"/>
    <w:rsid w:val="006A6882"/>
    <w:rsid w:val="006B0459"/>
    <w:rsid w:val="006B046B"/>
    <w:rsid w:val="006C2DFF"/>
    <w:rsid w:val="006C2EC2"/>
    <w:rsid w:val="006C51A3"/>
    <w:rsid w:val="006C57FC"/>
    <w:rsid w:val="006C7835"/>
    <w:rsid w:val="006D1D51"/>
    <w:rsid w:val="006E2D63"/>
    <w:rsid w:val="006E3B60"/>
    <w:rsid w:val="006E4811"/>
    <w:rsid w:val="006E5BB0"/>
    <w:rsid w:val="006E6AAF"/>
    <w:rsid w:val="006F1C2B"/>
    <w:rsid w:val="006F6B03"/>
    <w:rsid w:val="006F6C69"/>
    <w:rsid w:val="006F77B2"/>
    <w:rsid w:val="00700925"/>
    <w:rsid w:val="007049AC"/>
    <w:rsid w:val="007114A1"/>
    <w:rsid w:val="00712837"/>
    <w:rsid w:val="0072430C"/>
    <w:rsid w:val="007251F8"/>
    <w:rsid w:val="00730E98"/>
    <w:rsid w:val="0073636D"/>
    <w:rsid w:val="00740152"/>
    <w:rsid w:val="0074293D"/>
    <w:rsid w:val="00743F3E"/>
    <w:rsid w:val="00745C6B"/>
    <w:rsid w:val="00747A4E"/>
    <w:rsid w:val="00751077"/>
    <w:rsid w:val="00751267"/>
    <w:rsid w:val="0076218E"/>
    <w:rsid w:val="007733CF"/>
    <w:rsid w:val="00782EE2"/>
    <w:rsid w:val="00785339"/>
    <w:rsid w:val="00787318"/>
    <w:rsid w:val="00793092"/>
    <w:rsid w:val="00795C95"/>
    <w:rsid w:val="007A3C08"/>
    <w:rsid w:val="007A4339"/>
    <w:rsid w:val="007E454B"/>
    <w:rsid w:val="007F086E"/>
    <w:rsid w:val="007F183A"/>
    <w:rsid w:val="007F3D2A"/>
    <w:rsid w:val="008016C5"/>
    <w:rsid w:val="008024A1"/>
    <w:rsid w:val="00806956"/>
    <w:rsid w:val="008077CB"/>
    <w:rsid w:val="00812006"/>
    <w:rsid w:val="0082148F"/>
    <w:rsid w:val="00822FDA"/>
    <w:rsid w:val="008328C4"/>
    <w:rsid w:val="00840F28"/>
    <w:rsid w:val="008475F3"/>
    <w:rsid w:val="00851679"/>
    <w:rsid w:val="008602FF"/>
    <w:rsid w:val="00862E58"/>
    <w:rsid w:val="008643CF"/>
    <w:rsid w:val="00864D51"/>
    <w:rsid w:val="00873E7F"/>
    <w:rsid w:val="00875CCB"/>
    <w:rsid w:val="0088034E"/>
    <w:rsid w:val="008911E2"/>
    <w:rsid w:val="008B0CFC"/>
    <w:rsid w:val="008B6510"/>
    <w:rsid w:val="008C3987"/>
    <w:rsid w:val="008D3F8F"/>
    <w:rsid w:val="008D4788"/>
    <w:rsid w:val="008E0EE0"/>
    <w:rsid w:val="008F2C85"/>
    <w:rsid w:val="008F50BF"/>
    <w:rsid w:val="0090156C"/>
    <w:rsid w:val="0090177E"/>
    <w:rsid w:val="009034E8"/>
    <w:rsid w:val="009211D4"/>
    <w:rsid w:val="00923218"/>
    <w:rsid w:val="009305A8"/>
    <w:rsid w:val="009318C1"/>
    <w:rsid w:val="00933D8F"/>
    <w:rsid w:val="00933E89"/>
    <w:rsid w:val="00934ED4"/>
    <w:rsid w:val="009366B2"/>
    <w:rsid w:val="0094126C"/>
    <w:rsid w:val="0094302C"/>
    <w:rsid w:val="00946A0C"/>
    <w:rsid w:val="0095034F"/>
    <w:rsid w:val="00951D8D"/>
    <w:rsid w:val="00951F0F"/>
    <w:rsid w:val="00955BB7"/>
    <w:rsid w:val="009574A1"/>
    <w:rsid w:val="009643E9"/>
    <w:rsid w:val="00970BF7"/>
    <w:rsid w:val="009739C0"/>
    <w:rsid w:val="00977636"/>
    <w:rsid w:val="00980F1A"/>
    <w:rsid w:val="00982DBD"/>
    <w:rsid w:val="0098449B"/>
    <w:rsid w:val="00986596"/>
    <w:rsid w:val="0098672C"/>
    <w:rsid w:val="00996A43"/>
    <w:rsid w:val="00996F16"/>
    <w:rsid w:val="009A440B"/>
    <w:rsid w:val="009B4F91"/>
    <w:rsid w:val="009B6804"/>
    <w:rsid w:val="009B7400"/>
    <w:rsid w:val="009C21C4"/>
    <w:rsid w:val="009C2AF7"/>
    <w:rsid w:val="009C6E5C"/>
    <w:rsid w:val="009F2187"/>
    <w:rsid w:val="009F2D68"/>
    <w:rsid w:val="009F2F48"/>
    <w:rsid w:val="00A00AC5"/>
    <w:rsid w:val="00A02147"/>
    <w:rsid w:val="00A0249A"/>
    <w:rsid w:val="00A1206A"/>
    <w:rsid w:val="00A20BBC"/>
    <w:rsid w:val="00A21904"/>
    <w:rsid w:val="00A2392D"/>
    <w:rsid w:val="00A2442E"/>
    <w:rsid w:val="00A276F5"/>
    <w:rsid w:val="00A35DE5"/>
    <w:rsid w:val="00A452CC"/>
    <w:rsid w:val="00A5725B"/>
    <w:rsid w:val="00A60620"/>
    <w:rsid w:val="00A67E58"/>
    <w:rsid w:val="00A70297"/>
    <w:rsid w:val="00A714D6"/>
    <w:rsid w:val="00A72A29"/>
    <w:rsid w:val="00A74CB1"/>
    <w:rsid w:val="00A7539A"/>
    <w:rsid w:val="00A770FB"/>
    <w:rsid w:val="00A86357"/>
    <w:rsid w:val="00A87103"/>
    <w:rsid w:val="00A900D7"/>
    <w:rsid w:val="00A921C6"/>
    <w:rsid w:val="00AB3070"/>
    <w:rsid w:val="00AD31E2"/>
    <w:rsid w:val="00AD358E"/>
    <w:rsid w:val="00AD6E1C"/>
    <w:rsid w:val="00AD705E"/>
    <w:rsid w:val="00AE2B1E"/>
    <w:rsid w:val="00AE67F3"/>
    <w:rsid w:val="00AF46F9"/>
    <w:rsid w:val="00B007DB"/>
    <w:rsid w:val="00B01601"/>
    <w:rsid w:val="00B11003"/>
    <w:rsid w:val="00B1183C"/>
    <w:rsid w:val="00B27F2A"/>
    <w:rsid w:val="00B3515A"/>
    <w:rsid w:val="00B37B1D"/>
    <w:rsid w:val="00B41A8A"/>
    <w:rsid w:val="00B454E3"/>
    <w:rsid w:val="00B4798D"/>
    <w:rsid w:val="00B5462E"/>
    <w:rsid w:val="00B56BF4"/>
    <w:rsid w:val="00B70180"/>
    <w:rsid w:val="00B807EE"/>
    <w:rsid w:val="00B83E4B"/>
    <w:rsid w:val="00B854B6"/>
    <w:rsid w:val="00B94286"/>
    <w:rsid w:val="00B9443D"/>
    <w:rsid w:val="00B95B08"/>
    <w:rsid w:val="00B967F6"/>
    <w:rsid w:val="00B96942"/>
    <w:rsid w:val="00B97472"/>
    <w:rsid w:val="00BA458F"/>
    <w:rsid w:val="00BB3F98"/>
    <w:rsid w:val="00BB4086"/>
    <w:rsid w:val="00BC0B0A"/>
    <w:rsid w:val="00BC0C4C"/>
    <w:rsid w:val="00BC17CB"/>
    <w:rsid w:val="00BC2DB3"/>
    <w:rsid w:val="00BD3362"/>
    <w:rsid w:val="00BD69FA"/>
    <w:rsid w:val="00BE14C0"/>
    <w:rsid w:val="00BE1F64"/>
    <w:rsid w:val="00BE36E0"/>
    <w:rsid w:val="00BE6C9C"/>
    <w:rsid w:val="00BF3786"/>
    <w:rsid w:val="00BF6D3A"/>
    <w:rsid w:val="00C02450"/>
    <w:rsid w:val="00C0547A"/>
    <w:rsid w:val="00C05B8B"/>
    <w:rsid w:val="00C21996"/>
    <w:rsid w:val="00C21E21"/>
    <w:rsid w:val="00C26D95"/>
    <w:rsid w:val="00C30176"/>
    <w:rsid w:val="00C30FC4"/>
    <w:rsid w:val="00C32803"/>
    <w:rsid w:val="00C416D5"/>
    <w:rsid w:val="00C453B1"/>
    <w:rsid w:val="00C56F63"/>
    <w:rsid w:val="00C6029E"/>
    <w:rsid w:val="00C649AA"/>
    <w:rsid w:val="00C70E70"/>
    <w:rsid w:val="00C728B5"/>
    <w:rsid w:val="00C738BE"/>
    <w:rsid w:val="00C76EFC"/>
    <w:rsid w:val="00C80B18"/>
    <w:rsid w:val="00C83DE8"/>
    <w:rsid w:val="00C87040"/>
    <w:rsid w:val="00C87FE9"/>
    <w:rsid w:val="00C909B3"/>
    <w:rsid w:val="00C97BB8"/>
    <w:rsid w:val="00CA1529"/>
    <w:rsid w:val="00CA4EEB"/>
    <w:rsid w:val="00CA5D2A"/>
    <w:rsid w:val="00CB0C70"/>
    <w:rsid w:val="00CB3C60"/>
    <w:rsid w:val="00CB3E0C"/>
    <w:rsid w:val="00CC6069"/>
    <w:rsid w:val="00CD16BF"/>
    <w:rsid w:val="00CE0D8B"/>
    <w:rsid w:val="00CE2BAF"/>
    <w:rsid w:val="00CE4294"/>
    <w:rsid w:val="00CF028F"/>
    <w:rsid w:val="00CF126A"/>
    <w:rsid w:val="00CF293B"/>
    <w:rsid w:val="00D04357"/>
    <w:rsid w:val="00D23EA9"/>
    <w:rsid w:val="00D24014"/>
    <w:rsid w:val="00D24C11"/>
    <w:rsid w:val="00D36419"/>
    <w:rsid w:val="00D36838"/>
    <w:rsid w:val="00D5149F"/>
    <w:rsid w:val="00D55AE5"/>
    <w:rsid w:val="00D60BFA"/>
    <w:rsid w:val="00D63FA8"/>
    <w:rsid w:val="00D743EC"/>
    <w:rsid w:val="00D74700"/>
    <w:rsid w:val="00D776A0"/>
    <w:rsid w:val="00D77DF0"/>
    <w:rsid w:val="00D83DD1"/>
    <w:rsid w:val="00D87537"/>
    <w:rsid w:val="00D93146"/>
    <w:rsid w:val="00D932E0"/>
    <w:rsid w:val="00DA05FD"/>
    <w:rsid w:val="00DA221A"/>
    <w:rsid w:val="00DA786D"/>
    <w:rsid w:val="00DB00B9"/>
    <w:rsid w:val="00DB65EB"/>
    <w:rsid w:val="00DC1457"/>
    <w:rsid w:val="00DC61BE"/>
    <w:rsid w:val="00DC7A3F"/>
    <w:rsid w:val="00DD485C"/>
    <w:rsid w:val="00DD5700"/>
    <w:rsid w:val="00DE3C42"/>
    <w:rsid w:val="00DE5480"/>
    <w:rsid w:val="00DE6B56"/>
    <w:rsid w:val="00DF0071"/>
    <w:rsid w:val="00DF3098"/>
    <w:rsid w:val="00DF6992"/>
    <w:rsid w:val="00E020BA"/>
    <w:rsid w:val="00E07649"/>
    <w:rsid w:val="00E136BB"/>
    <w:rsid w:val="00E14427"/>
    <w:rsid w:val="00E146FD"/>
    <w:rsid w:val="00E15C18"/>
    <w:rsid w:val="00E24FDA"/>
    <w:rsid w:val="00E25FCD"/>
    <w:rsid w:val="00E26C5E"/>
    <w:rsid w:val="00E26E87"/>
    <w:rsid w:val="00E3088A"/>
    <w:rsid w:val="00E351F4"/>
    <w:rsid w:val="00E413BD"/>
    <w:rsid w:val="00E41C24"/>
    <w:rsid w:val="00E47C26"/>
    <w:rsid w:val="00E50520"/>
    <w:rsid w:val="00E53414"/>
    <w:rsid w:val="00E547E9"/>
    <w:rsid w:val="00E55677"/>
    <w:rsid w:val="00E57B23"/>
    <w:rsid w:val="00E57C99"/>
    <w:rsid w:val="00E62DD0"/>
    <w:rsid w:val="00E671DD"/>
    <w:rsid w:val="00E72E16"/>
    <w:rsid w:val="00E74B89"/>
    <w:rsid w:val="00E75512"/>
    <w:rsid w:val="00E8315B"/>
    <w:rsid w:val="00E83E30"/>
    <w:rsid w:val="00E849A7"/>
    <w:rsid w:val="00E85B18"/>
    <w:rsid w:val="00E97DE6"/>
    <w:rsid w:val="00EA0722"/>
    <w:rsid w:val="00EA511B"/>
    <w:rsid w:val="00EA76DD"/>
    <w:rsid w:val="00EB0F08"/>
    <w:rsid w:val="00EC1645"/>
    <w:rsid w:val="00ED64D4"/>
    <w:rsid w:val="00ED756E"/>
    <w:rsid w:val="00EE1DDA"/>
    <w:rsid w:val="00EE24AC"/>
    <w:rsid w:val="00EE63F7"/>
    <w:rsid w:val="00EF077C"/>
    <w:rsid w:val="00F03137"/>
    <w:rsid w:val="00F03AE3"/>
    <w:rsid w:val="00F05CCC"/>
    <w:rsid w:val="00F07846"/>
    <w:rsid w:val="00F125D1"/>
    <w:rsid w:val="00F23D2A"/>
    <w:rsid w:val="00F2591A"/>
    <w:rsid w:val="00F30051"/>
    <w:rsid w:val="00F35372"/>
    <w:rsid w:val="00F40656"/>
    <w:rsid w:val="00F4259D"/>
    <w:rsid w:val="00F454DA"/>
    <w:rsid w:val="00F52393"/>
    <w:rsid w:val="00F52909"/>
    <w:rsid w:val="00F53ED8"/>
    <w:rsid w:val="00F55703"/>
    <w:rsid w:val="00F571A8"/>
    <w:rsid w:val="00F60B4D"/>
    <w:rsid w:val="00F804EB"/>
    <w:rsid w:val="00F87A03"/>
    <w:rsid w:val="00F93C4C"/>
    <w:rsid w:val="00FA0236"/>
    <w:rsid w:val="00FA1E68"/>
    <w:rsid w:val="00FA30D8"/>
    <w:rsid w:val="00FB398B"/>
    <w:rsid w:val="00FC0AF3"/>
    <w:rsid w:val="00FC4CFF"/>
    <w:rsid w:val="00FC5D5B"/>
    <w:rsid w:val="00FE3934"/>
    <w:rsid w:val="00FE58DA"/>
    <w:rsid w:val="00FF5ABE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71CF"/>
  <w15:docId w15:val="{3225928C-9F03-4E32-B40C-E74FD8A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  <w:style w:type="paragraph" w:styleId="Revision">
    <w:name w:val="Revision"/>
    <w:hidden/>
    <w:uiPriority w:val="99"/>
    <w:semiHidden/>
    <w:rsid w:val="00CF126A"/>
    <w:pPr>
      <w:widowControl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F12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126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4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29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uce.Harper@des.qld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ian.barwick@transport.nsw.gov.au" TargetMode="Externa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hyperlink" Target="mailto:matthew.harry@transport.nsw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C2D813CA7174098197340CB9116E6" ma:contentTypeVersion="18" ma:contentTypeDescription="Create a new document." ma:contentTypeScope="" ma:versionID="ff5658edcb378590612fae62e502ebf9">
  <xsd:schema xmlns:xsd="http://www.w3.org/2001/XMLSchema" xmlns:xs="http://www.w3.org/2001/XMLSchema" xmlns:p="http://schemas.microsoft.com/office/2006/metadata/properties" xmlns:ns2="c4262c18-7864-4bd3-914d-4758a8c47d2a" xmlns:ns3="24748422-1270-4f47-8f27-f422253ef7ba" targetNamespace="http://schemas.microsoft.com/office/2006/metadata/properties" ma:root="true" ma:fieldsID="655231e542ab152d9a5e731c29c879bc" ns2:_="" ns3:_="">
    <xsd:import namespace="c4262c18-7864-4bd3-914d-4758a8c47d2a"/>
    <xsd:import namespace="24748422-1270-4f47-8f27-f422253ef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62c18-7864-4bd3-914d-4758a8c47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87ec379-0271-4c41-806b-2ec8a939a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48422-1270-4f47-8f27-f422253ef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67d015-a847-491b-978f-c6944368a0c6}" ma:internalName="TaxCatchAll" ma:showField="CatchAllData" ma:web="24748422-1270-4f47-8f27-f422253ef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86D86-AB04-40C2-B1D5-12DFFFEBF2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3285F7-7A36-491D-8047-B5E23BC6A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7FCA9-514A-4510-AC92-5EB65C84B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62c18-7864-4bd3-914d-4758a8c47d2a"/>
    <ds:schemaRef ds:uri="24748422-1270-4f47-8f27-f422253ef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ICCE2014_Abstract in Depth</vt:lpstr>
    </vt:vector>
  </TitlesOfParts>
  <Company/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cp:lastModifiedBy>Priscilla Matters</cp:lastModifiedBy>
  <cp:revision>2</cp:revision>
  <dcterms:created xsi:type="dcterms:W3CDTF">2022-09-26T04:45:00Z</dcterms:created>
  <dcterms:modified xsi:type="dcterms:W3CDTF">2022-09-26T04:45:00Z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</Properties>
</file>