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3AA8" w14:textId="2A83642D" w:rsidR="00E3697B" w:rsidRDefault="00291B5B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z w:val="24"/>
          <w:szCs w:val="23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</w:rPr>
        <w:t>DEEP LEARNING TO PREDICT TSUNAMI HEIGHT AT THE SHORELINE USING OCEAN BOTTOM PRESSURE DATA</w:t>
      </w:r>
    </w:p>
    <w:p w14:paraId="7EC00CBA" w14:textId="77777777" w:rsidR="00E3697B" w:rsidRDefault="00E3697B">
      <w:pPr>
        <w:spacing w:after="0" w:line="200" w:lineRule="exact"/>
        <w:rPr>
          <w:sz w:val="20"/>
          <w:szCs w:val="20"/>
        </w:rPr>
      </w:pPr>
    </w:p>
    <w:p w14:paraId="28B549A3" w14:textId="77777777" w:rsidR="00E3697B" w:rsidRDefault="00291B5B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</w:rPr>
        <w:t>Willington Renteria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2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University of Southern California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22"/>
          <w:sz w:val="18"/>
          <w:szCs w:val="17"/>
        </w:rPr>
        <w:t xml:space="preserve"> </w:t>
      </w:r>
      <w:r>
        <w:rPr>
          <w:rStyle w:val="Hyperlink"/>
          <w:rFonts w:ascii="Microsoft Sans Serif" w:eastAsia="Microsoft Sans Serif" w:hAnsi="Microsoft Sans Serif" w:cs="Microsoft Sans Serif"/>
          <w:spacing w:val="-1"/>
          <w:sz w:val="18"/>
          <w:szCs w:val="17"/>
        </w:rPr>
        <w:t>wrenteri</w:t>
      </w:r>
      <w:hyperlink r:id="rId4">
        <w:r>
          <w:rPr>
            <w:rStyle w:val="Hyperlink"/>
            <w:rFonts w:ascii="Microsoft Sans Serif" w:eastAsia="Microsoft Sans Serif" w:hAnsi="Microsoft Sans Serif" w:cs="Microsoft Sans Serif"/>
            <w:w w:val="103"/>
            <w:sz w:val="18"/>
            <w:szCs w:val="17"/>
          </w:rPr>
          <w:t>@usc.edu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4DD6B4AD" w14:textId="77777777" w:rsidR="00E3697B" w:rsidRDefault="00291B5B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 xml:space="preserve">Patrick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Lynett</w:t>
      </w:r>
      <w:proofErr w:type="spellEnd"/>
      <w:r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21"/>
          <w:position w:val="-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position w:val="-1"/>
          <w:sz w:val="18"/>
          <w:szCs w:val="17"/>
        </w:rPr>
        <w:t>University of Southern California</w:t>
      </w:r>
      <w:r>
        <w:rPr>
          <w:rFonts w:ascii="Microsoft Sans Serif" w:eastAsia="Microsoft Sans Serif" w:hAnsi="Microsoft Sans Serif" w:cs="Microsoft Sans Serif"/>
          <w:position w:val="-1"/>
          <w:sz w:val="18"/>
          <w:szCs w:val="17"/>
        </w:rPr>
        <w:t>,</w:t>
      </w:r>
      <w:r>
        <w:rPr>
          <w:rFonts w:ascii="Microsoft Sans Serif" w:eastAsia="Microsoft Sans Serif" w:hAnsi="Microsoft Sans Serif" w:cs="Microsoft Sans Serif"/>
          <w:spacing w:val="27"/>
          <w:position w:val="-1"/>
          <w:sz w:val="18"/>
          <w:szCs w:val="17"/>
        </w:rPr>
        <w:t xml:space="preserve"> </w:t>
      </w:r>
      <w:hyperlink r:id="rId5">
        <w:r>
          <w:rPr>
            <w:rStyle w:val="Hyperlink"/>
            <w:rFonts w:ascii="Microsoft Sans Serif" w:eastAsia="Microsoft Sans Serif" w:hAnsi="Microsoft Sans Serif" w:cs="Microsoft Sans Serif"/>
            <w:spacing w:val="-1"/>
            <w:sz w:val="18"/>
            <w:szCs w:val="17"/>
          </w:rPr>
          <w:t>plynett</w:t>
        </w:r>
        <w:r>
          <w:rPr>
            <w:rStyle w:val="Hyperlink"/>
            <w:rFonts w:ascii="Microsoft Sans Serif" w:eastAsia="Microsoft Sans Serif" w:hAnsi="Microsoft Sans Serif" w:cs="Microsoft Sans Serif"/>
            <w:w w:val="103"/>
            <w:sz w:val="18"/>
            <w:szCs w:val="17"/>
          </w:rPr>
          <w:t>@usc.edu</w:t>
        </w:r>
      </w:hyperlink>
      <w:r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</w:rPr>
        <w:t xml:space="preserve"> </w:t>
      </w:r>
    </w:p>
    <w:p w14:paraId="40DE2F1C" w14:textId="77777777" w:rsidR="00E3697B" w:rsidRDefault="00E3697B">
      <w:pPr>
        <w:spacing w:before="11" w:after="0" w:line="260" w:lineRule="exact"/>
        <w:rPr>
          <w:sz w:val="26"/>
          <w:szCs w:val="26"/>
        </w:rPr>
      </w:pPr>
    </w:p>
    <w:p w14:paraId="26C20BFB" w14:textId="77777777" w:rsidR="00E3697B" w:rsidRDefault="00E3697B">
      <w:pPr>
        <w:sectPr w:rsidR="00E3697B">
          <w:pgSz w:w="12240" w:h="15840"/>
          <w:pgMar w:top="1440" w:right="1021" w:bottom="1440" w:left="1021" w:header="0" w:footer="0" w:gutter="0"/>
          <w:cols w:space="720"/>
          <w:formProt w:val="0"/>
          <w:docGrid w:linePitch="600" w:charSpace="36864"/>
        </w:sectPr>
      </w:pPr>
    </w:p>
    <w:p w14:paraId="7D52689B" w14:textId="4ED4868E" w:rsidR="00E3697B" w:rsidRPr="00C80C75" w:rsidRDefault="00C80C75" w:rsidP="00C80C75">
      <w:pPr>
        <w:pStyle w:val="BodyText"/>
        <w:jc w:val="both"/>
        <w:rPr>
          <w:rFonts w:ascii="Microsoft Sans Serif" w:hAnsi="Microsoft Sans Serif" w:cs="Microsoft Sans Serif"/>
          <w:color w:val="000000"/>
          <w:sz w:val="18"/>
          <w:szCs w:val="18"/>
        </w:rPr>
      </w:pPr>
      <w:r>
        <w:rPr>
          <w:rFonts w:ascii="Microsoft Sans Serif" w:eastAsia="Calibri" w:hAnsi="Microsoft Sans Serif" w:cs="Microsoft Sans Serif"/>
          <w:color w:val="000000"/>
          <w:sz w:val="18"/>
          <w:szCs w:val="18"/>
        </w:rPr>
        <w:t>R</w:t>
      </w:r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>eal-time tsunami prediction</w:t>
      </w:r>
      <w:r>
        <w:rPr>
          <w:rFonts w:ascii="Microsoft Sans Serif" w:eastAsia="Calibri" w:hAnsi="Microsoft Sans Serif" w:cs="Microsoft Sans Serif"/>
          <w:color w:val="000000"/>
          <w:sz w:val="18"/>
          <w:szCs w:val="18"/>
        </w:rPr>
        <w:t xml:space="preserve"> </w:t>
      </w:r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>is a</w:t>
      </w:r>
      <w:r>
        <w:rPr>
          <w:rFonts w:ascii="Microsoft Sans Serif" w:eastAsia="Calibri" w:hAnsi="Microsoft Sans Serif" w:cs="Microsoft Sans Serif"/>
          <w:color w:val="000000"/>
          <w:sz w:val="18"/>
          <w:szCs w:val="18"/>
        </w:rPr>
        <w:t xml:space="preserve"> required component of a</w:t>
      </w:r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 xml:space="preserve"> tsunami warning</w:t>
      </w:r>
      <w:r>
        <w:rPr>
          <w:rFonts w:ascii="Microsoft Sans Serif" w:eastAsia="Calibri" w:hAnsi="Microsoft Sans Serif" w:cs="Microsoft Sans Serif"/>
          <w:color w:val="000000"/>
          <w:sz w:val="18"/>
          <w:szCs w:val="18"/>
        </w:rPr>
        <w:t xml:space="preserve"> system</w:t>
      </w:r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 xml:space="preserve">. Several advances have been made to improve prediction in the tsunami warning process, including precomputed databases and the assimilation of deep-ocean observations (DART buoys) into numerical modeling (Bernard &amp; </w:t>
      </w:r>
      <w:proofErr w:type="spellStart"/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>Titov</w:t>
      </w:r>
      <w:proofErr w:type="spellEnd"/>
      <w:r w:rsidR="00291B5B" w:rsidRPr="00C80C75">
        <w:rPr>
          <w:rFonts w:ascii="Microsoft Sans Serif" w:eastAsia="Calibri" w:hAnsi="Microsoft Sans Serif" w:cs="Microsoft Sans Serif"/>
          <w:color w:val="000000"/>
          <w:sz w:val="18"/>
          <w:szCs w:val="18"/>
        </w:rPr>
        <w:t>, 2015). These improvements aim to accurately and quickly predict the time and height of the tsunami wave impact.</w:t>
      </w:r>
    </w:p>
    <w:p w14:paraId="5D840D00" w14:textId="7AC7088A" w:rsidR="00E3697B" w:rsidRPr="00C80C75" w:rsidRDefault="00C80C75" w:rsidP="00C80C75">
      <w:pPr>
        <w:jc w:val="both"/>
        <w:rPr>
          <w:rFonts w:ascii="Microsoft Sans Serif" w:hAnsi="Microsoft Sans Serif" w:cs="Microsoft Sans Serif"/>
          <w:color w:val="000000"/>
          <w:sz w:val="18"/>
          <w:szCs w:val="18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Here, t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>wo deep learning models</w:t>
      </w:r>
      <w:r w:rsidR="00531F3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(DLM)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are developed to predict the maximum tsunami height at</w:t>
      </w:r>
      <w:r w:rsidR="0029423C">
        <w:rPr>
          <w:rFonts w:ascii="Microsoft Sans Serif" w:hAnsi="Microsoft Sans Serif" w:cs="Microsoft Sans Serif"/>
          <w:color w:val="000000"/>
          <w:sz w:val="18"/>
          <w:szCs w:val="18"/>
        </w:rPr>
        <w:t xml:space="preserve"> a local/long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r w:rsidR="00291B5B" w:rsidRPr="0029423C">
        <w:rPr>
          <w:rFonts w:ascii="Microsoft Sans Serif" w:hAnsi="Microsoft Sans Serif" w:cs="Microsoft Sans Serif"/>
          <w:color w:val="000000"/>
          <w:sz w:val="18"/>
          <w:szCs w:val="18"/>
        </w:rPr>
        <w:t xml:space="preserve">shoreline from four </w:t>
      </w:r>
      <w:r w:rsidR="007C6684" w:rsidRPr="0029423C">
        <w:rPr>
          <w:rFonts w:ascii="Microsoft Sans Serif" w:hAnsi="Microsoft Sans Serif" w:cs="Microsoft Sans Serif"/>
          <w:color w:val="000000"/>
          <w:sz w:val="18"/>
          <w:szCs w:val="18"/>
        </w:rPr>
        <w:t xml:space="preserve">time series </w:t>
      </w:r>
      <w:r w:rsidR="00291B5B" w:rsidRPr="0029423C">
        <w:rPr>
          <w:rFonts w:ascii="Microsoft Sans Serif" w:hAnsi="Microsoft Sans Serif" w:cs="Microsoft Sans Serif"/>
          <w:color w:val="000000"/>
          <w:sz w:val="18"/>
          <w:szCs w:val="18"/>
        </w:rPr>
        <w:t>observation</w:t>
      </w:r>
      <w:r w:rsidR="007C6684" w:rsidRPr="0029423C">
        <w:rPr>
          <w:rFonts w:ascii="Microsoft Sans Serif" w:hAnsi="Microsoft Sans Serif" w:cs="Microsoft Sans Serif"/>
          <w:color w:val="000000"/>
          <w:sz w:val="18"/>
          <w:szCs w:val="18"/>
        </w:rPr>
        <w:t>s of</w:t>
      </w:r>
      <w:r w:rsidR="00291B5B" w:rsidRPr="0029423C">
        <w:rPr>
          <w:rFonts w:ascii="Microsoft Sans Serif" w:hAnsi="Microsoft Sans Serif" w:cs="Microsoft Sans Serif"/>
          <w:color w:val="000000"/>
          <w:sz w:val="18"/>
          <w:szCs w:val="18"/>
        </w:rPr>
        <w:t xml:space="preserve"> ocean bottom pressure data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. These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two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r w:rsidR="00531F35">
        <w:rPr>
          <w:rFonts w:ascii="Microsoft Sans Serif" w:hAnsi="Microsoft Sans Serif" w:cs="Microsoft Sans Serif"/>
          <w:color w:val="000000"/>
          <w:sz w:val="18"/>
          <w:szCs w:val="18"/>
        </w:rPr>
        <w:t>DLMs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were trained</w:t>
      </w:r>
      <w:r w:rsidR="0067489A">
        <w:rPr>
          <w:rFonts w:ascii="Microsoft Sans Serif" w:hAnsi="Microsoft Sans Serif" w:cs="Microsoft Sans Serif"/>
          <w:color w:val="000000"/>
          <w:sz w:val="18"/>
          <w:szCs w:val="18"/>
        </w:rPr>
        <w:t>/tested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with the results of 1300 tsunami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 xml:space="preserve">simulations of 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>Cascadia Subduction Zone (CZS)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 xml:space="preserve"> earthquakes,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including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their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inundation and runup</w:t>
      </w:r>
      <w:r w:rsidR="00291B5B"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on the coast.</w:t>
      </w:r>
      <w:r w:rsidR="0067489A">
        <w:rPr>
          <w:rFonts w:ascii="Microsoft Sans Serif" w:hAnsi="Microsoft Sans Serif" w:cs="Microsoft Sans Serif"/>
          <w:color w:val="000000"/>
          <w:sz w:val="18"/>
          <w:szCs w:val="18"/>
        </w:rPr>
        <w:t xml:space="preserve"> The training dataset is composed </w:t>
      </w:r>
      <w:r w:rsidR="006F113A">
        <w:rPr>
          <w:rFonts w:ascii="Microsoft Sans Serif" w:hAnsi="Microsoft Sans Serif" w:cs="Microsoft Sans Serif"/>
          <w:color w:val="000000"/>
          <w:sz w:val="18"/>
          <w:szCs w:val="18"/>
        </w:rPr>
        <w:t>of</w:t>
      </w:r>
      <w:r w:rsidR="0067489A">
        <w:rPr>
          <w:rFonts w:ascii="Microsoft Sans Serif" w:hAnsi="Microsoft Sans Serif" w:cs="Microsoft Sans Serif"/>
          <w:color w:val="000000"/>
          <w:sz w:val="18"/>
          <w:szCs w:val="18"/>
        </w:rPr>
        <w:t xml:space="preserve"> 1040 scenarios</w:t>
      </w:r>
      <w:r w:rsidR="006F113A">
        <w:rPr>
          <w:rFonts w:ascii="Microsoft Sans Serif" w:hAnsi="Microsoft Sans Serif" w:cs="Microsoft Sans Serif"/>
          <w:color w:val="000000"/>
          <w:sz w:val="18"/>
          <w:szCs w:val="18"/>
        </w:rPr>
        <w:t xml:space="preserve"> and the testing dataset id </w:t>
      </w:r>
      <w:proofErr w:type="gramStart"/>
      <w:r w:rsidR="006F113A">
        <w:rPr>
          <w:rFonts w:ascii="Microsoft Sans Serif" w:hAnsi="Microsoft Sans Serif" w:cs="Microsoft Sans Serif"/>
          <w:color w:val="000000"/>
          <w:sz w:val="18"/>
          <w:szCs w:val="18"/>
        </w:rPr>
        <w:t xml:space="preserve">of </w:t>
      </w:r>
      <w:r w:rsidR="0067489A">
        <w:rPr>
          <w:rFonts w:ascii="Microsoft Sans Serif" w:hAnsi="Microsoft Sans Serif" w:cs="Microsoft Sans Serif"/>
          <w:color w:val="000000"/>
          <w:sz w:val="18"/>
          <w:szCs w:val="18"/>
        </w:rPr>
        <w:t xml:space="preserve"> 260</w:t>
      </w:r>
      <w:proofErr w:type="gramEnd"/>
      <w:r w:rsidR="006F113A">
        <w:rPr>
          <w:rFonts w:ascii="Microsoft Sans Serif" w:hAnsi="Microsoft Sans Serif" w:cs="Microsoft Sans Serif"/>
          <w:color w:val="000000"/>
          <w:sz w:val="18"/>
          <w:szCs w:val="18"/>
        </w:rPr>
        <w:t xml:space="preserve"> scenarios</w:t>
      </w:r>
      <w:r w:rsidR="0067489A">
        <w:rPr>
          <w:rFonts w:ascii="Microsoft Sans Serif" w:hAnsi="Microsoft Sans Serif" w:cs="Microsoft Sans Serif"/>
          <w:color w:val="000000"/>
          <w:sz w:val="18"/>
          <w:szCs w:val="18"/>
        </w:rPr>
        <w:t xml:space="preserve">. </w:t>
      </w:r>
    </w:p>
    <w:p w14:paraId="2DF39B3B" w14:textId="5D4E8E9B" w:rsidR="00E3697B" w:rsidRPr="00C80C75" w:rsidRDefault="00291B5B" w:rsidP="00C80C75">
      <w:pPr>
        <w:pStyle w:val="BodyText"/>
        <w:jc w:val="both"/>
        <w:rPr>
          <w:rFonts w:ascii="Microsoft Sans Serif" w:hAnsi="Microsoft Sans Serif" w:cs="Microsoft Sans Serif"/>
          <w:color w:val="000000"/>
          <w:sz w:val="18"/>
          <w:szCs w:val="18"/>
        </w:rPr>
      </w:pPr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The tsunami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simulations</w:t>
      </w:r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used as initial conditions the sea surface perturbation, generated from the dataset of potential earthquakes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along</w:t>
      </w:r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the CZS developed by (</w:t>
      </w:r>
      <w:proofErr w:type="spellStart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>Melgar</w:t>
      </w:r>
      <w:proofErr w:type="spellEnd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et al., 2016). The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 xml:space="preserve">numerical </w:t>
      </w:r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model used for these simulations was the nonlinear shallow-water </w:t>
      </w:r>
      <w:r w:rsidR="007C6684">
        <w:rPr>
          <w:rFonts w:ascii="Microsoft Sans Serif" w:hAnsi="Microsoft Sans Serif" w:cs="Microsoft Sans Serif"/>
          <w:color w:val="000000"/>
          <w:sz w:val="18"/>
          <w:szCs w:val="18"/>
        </w:rPr>
        <w:t>version of</w:t>
      </w:r>
      <w:r w:rsidR="006E4E6C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 w:rsidR="006E4E6C">
        <w:rPr>
          <w:rFonts w:ascii="Microsoft Sans Serif" w:hAnsi="Microsoft Sans Serif" w:cs="Microsoft Sans Serif"/>
          <w:color w:val="000000"/>
          <w:sz w:val="18"/>
          <w:szCs w:val="18"/>
        </w:rPr>
        <w:t>Clawpack</w:t>
      </w:r>
      <w:proofErr w:type="spellEnd"/>
      <w:r w:rsidR="006E4E6C">
        <w:rPr>
          <w:rFonts w:ascii="Microsoft Sans Serif" w:hAnsi="Microsoft Sans Serif" w:cs="Microsoft Sans Serif"/>
          <w:color w:val="000000"/>
          <w:sz w:val="18"/>
          <w:szCs w:val="18"/>
        </w:rPr>
        <w:t>,</w:t>
      </w:r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</w:t>
      </w:r>
      <w:proofErr w:type="spellStart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>Geoclaw</w:t>
      </w:r>
      <w:proofErr w:type="spellEnd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(</w:t>
      </w:r>
      <w:proofErr w:type="spellStart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>LeVeque</w:t>
      </w:r>
      <w:proofErr w:type="spellEnd"/>
      <w:r w:rsidRPr="00C80C75">
        <w:rPr>
          <w:rFonts w:ascii="Microsoft Sans Serif" w:hAnsi="Microsoft Sans Serif" w:cs="Microsoft Sans Serif"/>
          <w:color w:val="000000"/>
          <w:sz w:val="18"/>
          <w:szCs w:val="18"/>
        </w:rPr>
        <w:t xml:space="preserve"> et al., 2011).</w:t>
      </w:r>
    </w:p>
    <w:p w14:paraId="66D3D6B8" w14:textId="77777777" w:rsidR="0009761C" w:rsidRDefault="007C6684" w:rsidP="0009761C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  <w:highlight w:val="yellow"/>
        </w:rPr>
      </w:pP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R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esults of numerical simulations are used to train the supervised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DLMs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with input features from synthetic ocean bottom pressure data (i.e., produced by those models at four different locations in the Cascadia zone</w:t>
      </w:r>
      <w:r w:rsidR="0009761C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)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. In the first case,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for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a real application, one could use the DART buoy data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(instead of the synthetic data used here)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to predict the tsunami height at the coastline without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needing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a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numerical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model</w:t>
      </w:r>
      <w:r w:rsidR="00291B5B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of the event.</w:t>
      </w:r>
      <w:r w:rsidR="0009761C" w:rsidRPr="0009761C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  <w:highlight w:val="yellow"/>
        </w:rPr>
        <w:t xml:space="preserve"> </w:t>
      </w:r>
    </w:p>
    <w:p w14:paraId="5A3D61F9" w14:textId="61F89643" w:rsidR="0009761C" w:rsidRPr="00C80C75" w:rsidRDefault="0009761C" w:rsidP="0009761C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First</w:t>
      </w: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,</w:t>
      </w: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from </w:t>
      </w:r>
      <w:proofErr w:type="gramStart"/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three time</w:t>
      </w:r>
      <w:proofErr w:type="gramEnd"/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windows </w:t>
      </w:r>
      <w:r w:rsidR="009C504A"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of 15, 30, and 45 minutes </w:t>
      </w: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of data </w:t>
      </w:r>
      <w:r w:rsidR="009C504A"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(i.e., synthetic offshore data) the model</w:t>
      </w: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predict</w:t>
      </w:r>
      <w:r w:rsidR="009C504A"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s</w:t>
      </w:r>
      <w:r w:rsidRPr="009C504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the maximum wave height at the coastline along the West Coast of the United States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. 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This DLM model has a mean absolute error of 0.2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0, </w:t>
      </w:r>
      <w:r w:rsidR="004E0173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0.19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, </w:t>
      </w:r>
      <w:r w:rsidR="004E0173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0.17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m in 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the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testing subset of 260 scenarios.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The DLM for this application is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a neural network trained with the available data and optimized by </w:t>
      </w: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a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root mean square propagation algorithm.</w:t>
      </w:r>
    </w:p>
    <w:p w14:paraId="0BE23AD0" w14:textId="6B4E685C" w:rsidR="00531F35" w:rsidRPr="00C80C75" w:rsidRDefault="00D83923" w:rsidP="00C80C75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Second, with the same three windows of time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, we use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the synthetic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offshore pressure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data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with a </w:t>
      </w:r>
      <w:r w:rsidR="000C13C6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stacked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DLM to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predict the maximum wave height at the Crescent City coastline. The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optimized DLM yields a </w:t>
      </w:r>
      <w:r w:rsidR="000C13C6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reduction in the 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mean absolute</w:t>
      </w:r>
      <w:r w:rsidR="0067489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error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in the tsunami height prediction across </w:t>
      </w:r>
      <w:r w:rsidR="0067489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260 testing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sources in Crescent City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. This </w:t>
      </w:r>
      <w:r w:rsidR="000C13C6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stacked </w:t>
      </w:r>
      <w:r w:rsidR="00531F3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DLM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is composed of a neural network and autoencoder. The neural network is used to get a first approximation of the maximum </w:t>
      </w:r>
      <w:r w:rsidR="00531F35"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tsunami height, and the autoencoder is used to improve the results.</w:t>
      </w:r>
    </w:p>
    <w:p w14:paraId="7904CA6C" w14:textId="7FB0214F" w:rsidR="00E3697B" w:rsidRPr="00C80C75" w:rsidRDefault="00557EB1" w:rsidP="00C80C75">
      <w:pPr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bookmarkStart w:id="0" w:name="docs-internal-guid-7ef0fa40-7fff-107a-1d"/>
      <w:bookmarkEnd w:id="0"/>
      <w:r>
        <w:rPr>
          <w:rFonts w:ascii="Microsoft Sans Serif" w:eastAsia="Microsoft Sans Serif" w:hAnsi="Microsoft Sans Serif" w:cs="Microsoft Sans Serif"/>
          <w:noProof/>
          <w:color w:val="000000"/>
          <w:spacing w:val="1"/>
          <w:sz w:val="18"/>
          <w:szCs w:val="18"/>
        </w:rPr>
        <w:drawing>
          <wp:inline distT="0" distB="0" distL="0" distR="0" wp14:anchorId="22FAD7E0" wp14:editId="6C28D152">
            <wp:extent cx="2963125" cy="1524000"/>
            <wp:effectExtent l="0" t="0" r="889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3" r="8131"/>
                    <a:stretch/>
                  </pic:blipFill>
                  <pic:spPr bwMode="auto">
                    <a:xfrm>
                      <a:off x="0" y="0"/>
                      <a:ext cx="2966685" cy="1525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67976" w14:textId="77777777" w:rsidR="00E3697B" w:rsidRPr="00C80C75" w:rsidRDefault="00291B5B" w:rsidP="00C80C75">
      <w:pPr>
        <w:spacing w:before="49" w:after="0" w:line="244" w:lineRule="auto"/>
        <w:ind w:right="69"/>
        <w:jc w:val="both"/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C80C75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Fig</w:t>
      </w:r>
      <w:r w:rsidRPr="00C80C75">
        <w:rPr>
          <w:rFonts w:ascii="Microsoft Sans Serif" w:eastAsia="Microsoft Sans Serif" w:hAnsi="Microsoft Sans Serif" w:cs="Microsoft Sans Serif"/>
          <w:spacing w:val="-1"/>
          <w:sz w:val="18"/>
          <w:szCs w:val="18"/>
        </w:rPr>
        <w:t>u</w:t>
      </w:r>
      <w:r w:rsidRPr="00C80C75">
        <w:rPr>
          <w:rFonts w:ascii="Microsoft Sans Serif" w:eastAsia="Microsoft Sans Serif" w:hAnsi="Microsoft Sans Serif" w:cs="Microsoft Sans Serif"/>
          <w:spacing w:val="2"/>
          <w:sz w:val="18"/>
          <w:szCs w:val="18"/>
        </w:rPr>
        <w:t>r</w:t>
      </w:r>
      <w:r w:rsidRPr="00C80C75">
        <w:rPr>
          <w:rFonts w:ascii="Microsoft Sans Serif" w:eastAsia="Microsoft Sans Serif" w:hAnsi="Microsoft Sans Serif" w:cs="Microsoft Sans Serif"/>
          <w:sz w:val="18"/>
          <w:szCs w:val="18"/>
        </w:rPr>
        <w:t xml:space="preserve">e </w:t>
      </w:r>
      <w:r w:rsidRPr="00C80C75">
        <w:rPr>
          <w:rFonts w:ascii="Microsoft Sans Serif" w:eastAsia="Microsoft Sans Serif" w:hAnsi="Microsoft Sans Serif" w:cs="Microsoft Sans Serif"/>
          <w:spacing w:val="12"/>
          <w:sz w:val="18"/>
          <w:szCs w:val="18"/>
        </w:rPr>
        <w:t xml:space="preserve"> </w:t>
      </w:r>
      <w:r w:rsidRPr="00C80C75">
        <w:rPr>
          <w:rFonts w:ascii="Microsoft Sans Serif" w:eastAsia="Microsoft Sans Serif" w:hAnsi="Microsoft Sans Serif" w:cs="Microsoft Sans Serif"/>
          <w:sz w:val="18"/>
          <w:szCs w:val="18"/>
        </w:rPr>
        <w:t>1</w:t>
      </w:r>
      <w:proofErr w:type="gramEnd"/>
      <w:r w:rsidRPr="00C80C75">
        <w:rPr>
          <w:rFonts w:ascii="Microsoft Sans Serif" w:eastAsia="Microsoft Sans Serif" w:hAnsi="Microsoft Sans Serif" w:cs="Microsoft Sans Serif"/>
          <w:sz w:val="18"/>
          <w:szCs w:val="18"/>
        </w:rPr>
        <w:t xml:space="preserve"> </w:t>
      </w:r>
      <w:r w:rsidRPr="00C80C75">
        <w:rPr>
          <w:rFonts w:ascii="Microsoft Sans Serif" w:eastAsia="Microsoft Sans Serif" w:hAnsi="Microsoft Sans Serif" w:cs="Microsoft Sans Serif"/>
          <w:spacing w:val="2"/>
          <w:sz w:val="18"/>
          <w:szCs w:val="18"/>
        </w:rPr>
        <w:t xml:space="preserve"> </w:t>
      </w:r>
      <w:r w:rsidRPr="00C80C75">
        <w:rPr>
          <w:rFonts w:ascii="Microsoft Sans Serif" w:eastAsia="Microsoft Sans Serif" w:hAnsi="Microsoft Sans Serif" w:cs="Microsoft Sans Serif"/>
          <w:sz w:val="18"/>
          <w:szCs w:val="18"/>
        </w:rPr>
        <w:t>–</w:t>
      </w:r>
      <w:r w:rsidRPr="00C80C75">
        <w:rPr>
          <w:rFonts w:ascii="Microsoft Sans Serif" w:eastAsia="Microsoft Sans Serif" w:hAnsi="Microsoft Sans Serif" w:cs="Microsoft Sans Serif"/>
          <w:spacing w:val="44"/>
          <w:sz w:val="18"/>
          <w:szCs w:val="18"/>
        </w:rPr>
        <w:t xml:space="preserve"> </w:t>
      </w:r>
      <w:r w:rsidRPr="00C80C75">
        <w:rPr>
          <w:rFonts w:ascii="Microsoft Sans Serif" w:eastAsia="Microsoft Sans Serif" w:hAnsi="Microsoft Sans Serif" w:cs="Microsoft Sans Serif"/>
          <w:spacing w:val="1"/>
          <w:sz w:val="18"/>
          <w:szCs w:val="18"/>
        </w:rPr>
        <w:t>Neural Network &amp; Encoder tsunami height (m) prediction with 15 minutes of data, for the scenario No. 1004 at Crescent City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3"/>
          <w:sz w:val="18"/>
          <w:szCs w:val="18"/>
        </w:rPr>
        <w:t>.</w:t>
      </w:r>
    </w:p>
    <w:p w14:paraId="09FE70D2" w14:textId="77777777" w:rsidR="00E3697B" w:rsidRPr="00C80C75" w:rsidRDefault="00E3697B" w:rsidP="00C80C75">
      <w:pPr>
        <w:spacing w:before="49" w:after="0" w:line="244" w:lineRule="auto"/>
        <w:ind w:right="69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</w:p>
    <w:p w14:paraId="432794CB" w14:textId="60E5FC21" w:rsidR="000710E0" w:rsidRDefault="00291B5B" w:rsidP="00C80C75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The</w:t>
      </w:r>
      <w:r w:rsidR="00BE63C1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testing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mean absolute error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for the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three input durations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were 0.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67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, 0.5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3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, and 0.4</w:t>
      </w:r>
      <w:r w:rsidR="00BE63C1"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6</w:t>
      </w:r>
      <w:r w:rsidRPr="004E0173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m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, respectively, in the neural network part</w:t>
      </w:r>
      <w:r w:rsidR="00BE63C1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.</w:t>
      </w:r>
      <w:r w:rsidR="00C836C1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To improve the predictions, these outcomes are passed to a stacked autoencoder. As an example, for the scenario No. 1004, the MAE went from 0.3 to 0.13 m after the autoencoder</w:t>
      </w:r>
      <w:r w:rsidR="008D636A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(Figure 1)</w:t>
      </w:r>
      <w:r w:rsidR="00C836C1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.</w:t>
      </w:r>
    </w:p>
    <w:p w14:paraId="013AF0AD" w14:textId="60840F6E" w:rsidR="00E3697B" w:rsidRPr="00C80C75" w:rsidRDefault="000710E0" w:rsidP="00C80C75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r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These initial results indicate that the offshore pressure data contains more information relevant to onshore hazard, and thus we investigate the DLM with this input data further</w:t>
      </w:r>
    </w:p>
    <w:p w14:paraId="4D2FBBCB" w14:textId="6105C9D1" w:rsidR="00E3697B" w:rsidRPr="00C80C75" w:rsidRDefault="00291B5B" w:rsidP="00C80C75">
      <w:pPr>
        <w:pStyle w:val="BodyText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Th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is DLM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</w:t>
      </w:r>
      <w:proofErr w:type="gram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is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c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apable of predicting</w:t>
      </w:r>
      <w:proofErr w:type="gram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the tsunami height with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just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the information from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a few 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ocean bottom pressure devices. Th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e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methodology could be applied to other tsunami sources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as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it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requires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only the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time series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of the tsunami passing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near 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the </w:t>
      </w:r>
      <w:r w:rsidR="003C60A8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>location</w:t>
      </w:r>
      <w:r w:rsidRPr="00C80C75"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  <w:t xml:space="preserve"> of the DART buoys.</w:t>
      </w:r>
    </w:p>
    <w:p w14:paraId="3B443543" w14:textId="77777777" w:rsidR="00E3697B" w:rsidRPr="00C80C75" w:rsidRDefault="00291B5B" w:rsidP="00C80C75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z w:val="18"/>
          <w:szCs w:val="18"/>
        </w:rPr>
      </w:pPr>
      <w:r w:rsidRPr="00C80C75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8"/>
        </w:rPr>
        <w:t>R</w:t>
      </w:r>
      <w:r w:rsidRPr="00C80C75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8"/>
        </w:rPr>
        <w:t>E</w:t>
      </w:r>
      <w:r w:rsidRPr="00C80C75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8"/>
        </w:rPr>
        <w:t>F</w:t>
      </w:r>
      <w:r w:rsidRPr="00C80C75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8"/>
        </w:rPr>
        <w:t>E</w:t>
      </w:r>
      <w:r w:rsidRPr="00C80C75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8"/>
        </w:rPr>
        <w:t>R</w:t>
      </w:r>
      <w:r w:rsidRPr="00C80C75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8"/>
        </w:rPr>
        <w:t>E</w:t>
      </w:r>
      <w:r w:rsidRPr="00C80C75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8"/>
        </w:rPr>
        <w:t>N</w:t>
      </w:r>
      <w:r w:rsidRPr="00C80C75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8"/>
        </w:rPr>
        <w:t>C</w:t>
      </w:r>
      <w:r w:rsidRPr="00C80C75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8"/>
        </w:rPr>
        <w:t>E</w:t>
      </w:r>
      <w:r w:rsidRPr="00C80C75">
        <w:rPr>
          <w:rFonts w:ascii="Microsoft Sans Serif" w:eastAsia="Microsoft Sans Serif" w:hAnsi="Microsoft Sans Serif" w:cs="Microsoft Sans Serif"/>
          <w:w w:val="102"/>
          <w:sz w:val="18"/>
          <w:szCs w:val="18"/>
        </w:rPr>
        <w:t>S</w:t>
      </w:r>
    </w:p>
    <w:p w14:paraId="42BC1A77" w14:textId="24714107" w:rsidR="00E3697B" w:rsidRDefault="00291B5B" w:rsidP="00C80C75">
      <w:pPr>
        <w:pStyle w:val="BodyText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</w:pPr>
      <w:bookmarkStart w:id="1" w:name="docs-internal-guid-2a2a5295-7fff-d6c0-ab"/>
      <w:bookmarkEnd w:id="1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Bernard, </w:t>
      </w:r>
      <w:proofErr w:type="spell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Titov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 (2015). Evolution of tsunami warning systems and products. Philosophical Transactions of the Royal Society of London. Series A: Mathematical, Physical, and Engineering Sciences, 373(2053), 20140371. </w:t>
      </w:r>
    </w:p>
    <w:p w14:paraId="27D86DF4" w14:textId="77777777" w:rsidR="00291B5B" w:rsidRPr="00C80C75" w:rsidRDefault="00291B5B" w:rsidP="00C80C75">
      <w:pPr>
        <w:pStyle w:val="BodyText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</w:p>
    <w:p w14:paraId="455019E0" w14:textId="34FEFD43" w:rsidR="00E3697B" w:rsidRDefault="00291B5B" w:rsidP="00C80C75">
      <w:pPr>
        <w:pStyle w:val="BodyText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</w:pPr>
      <w:bookmarkStart w:id="2" w:name="docs-internal-guid-8db5ecb2-7fff-89a3-a6"/>
      <w:bookmarkEnd w:id="2"/>
      <w:proofErr w:type="spell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LeVeque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, George, Berger (2011). Tsunami modelling with adaptively refined finite volume methods. Acta </w:t>
      </w:r>
      <w:proofErr w:type="spell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Numerica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, 20, 211-289. </w:t>
      </w:r>
    </w:p>
    <w:p w14:paraId="3546C217" w14:textId="77777777" w:rsidR="00291B5B" w:rsidRPr="00C80C75" w:rsidRDefault="00291B5B" w:rsidP="00C80C75">
      <w:pPr>
        <w:pStyle w:val="BodyText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pacing w:val="1"/>
          <w:sz w:val="18"/>
          <w:szCs w:val="18"/>
        </w:rPr>
      </w:pPr>
    </w:p>
    <w:p w14:paraId="2CFD8DA1" w14:textId="77777777" w:rsidR="00E3697B" w:rsidRPr="00C80C75" w:rsidRDefault="00291B5B" w:rsidP="00C80C75">
      <w:pPr>
        <w:pStyle w:val="BodyText"/>
        <w:spacing w:after="0" w:line="240" w:lineRule="auto"/>
        <w:jc w:val="both"/>
        <w:rPr>
          <w:rFonts w:ascii="Microsoft Sans Serif" w:hAnsi="Microsoft Sans Serif" w:cs="Microsoft Sans Serif"/>
          <w:sz w:val="18"/>
          <w:szCs w:val="18"/>
        </w:rPr>
      </w:pPr>
      <w:bookmarkStart w:id="3" w:name="docs-internal-guid-c0c6aed2-7fff-37b1-3b"/>
      <w:bookmarkEnd w:id="3"/>
      <w:proofErr w:type="spell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Melgar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, </w:t>
      </w:r>
      <w:proofErr w:type="spellStart"/>
      <w:proofErr w:type="gram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LeVeque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,  Dreger</w:t>
      </w:r>
      <w:proofErr w:type="gram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, &amp; Allen, (2016). Kinematic rupture scenarios and synthetic displacement data: An example application to the </w:t>
      </w:r>
      <w:proofErr w:type="spellStart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>cascadia</w:t>
      </w:r>
      <w:proofErr w:type="spellEnd"/>
      <w:r w:rsidRPr="00C80C75">
        <w:rPr>
          <w:rFonts w:ascii="Microsoft Sans Serif" w:eastAsia="Microsoft Sans Serif" w:hAnsi="Microsoft Sans Serif" w:cs="Microsoft Sans Serif"/>
          <w:color w:val="000000"/>
          <w:spacing w:val="1"/>
          <w:w w:val="102"/>
          <w:sz w:val="18"/>
          <w:szCs w:val="18"/>
        </w:rPr>
        <w:t xml:space="preserve"> subduction zone. Journal of Geophysical Research. Solid Earth, 121(9), 6658-6674. </w:t>
      </w:r>
    </w:p>
    <w:sectPr w:rsidR="00E3697B" w:rsidRPr="00C80C75">
      <w:type w:val="continuous"/>
      <w:pgSz w:w="12240" w:h="15840"/>
      <w:pgMar w:top="1440" w:right="1021" w:bottom="1440" w:left="1021" w:header="0" w:footer="0" w:gutter="0"/>
      <w:cols w:num="2" w:space="720" w:equalWidth="0">
        <w:col w:w="4735" w:space="688"/>
        <w:col w:w="4774"/>
      </w:cols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7B"/>
    <w:rsid w:val="000710E0"/>
    <w:rsid w:val="00074437"/>
    <w:rsid w:val="0009761C"/>
    <w:rsid w:val="000C13C6"/>
    <w:rsid w:val="00291B5B"/>
    <w:rsid w:val="0029423C"/>
    <w:rsid w:val="00307D17"/>
    <w:rsid w:val="003C60A8"/>
    <w:rsid w:val="004E0173"/>
    <w:rsid w:val="00531F35"/>
    <w:rsid w:val="00557EB1"/>
    <w:rsid w:val="0067489A"/>
    <w:rsid w:val="006E4E6C"/>
    <w:rsid w:val="006F113A"/>
    <w:rsid w:val="007C6684"/>
    <w:rsid w:val="007D7916"/>
    <w:rsid w:val="00875FD4"/>
    <w:rsid w:val="0089391F"/>
    <w:rsid w:val="008D636A"/>
    <w:rsid w:val="00952445"/>
    <w:rsid w:val="009C504A"/>
    <w:rsid w:val="00BE63C1"/>
    <w:rsid w:val="00C80C75"/>
    <w:rsid w:val="00C836C1"/>
    <w:rsid w:val="00D83923"/>
    <w:rsid w:val="00E3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B3A6"/>
  <w15:docId w15:val="{1DB27777-6240-46A7-B1AF-855F249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763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413D"/>
  </w:style>
  <w:style w:type="character" w:customStyle="1" w:styleId="FooterChar">
    <w:name w:val="Footer Char"/>
    <w:basedOn w:val="DefaultParagraphFont"/>
    <w:link w:val="Footer"/>
    <w:uiPriority w:val="99"/>
    <w:qFormat/>
    <w:rsid w:val="0013413D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name@domain.com" TargetMode="External"/><Relationship Id="rId4" Type="http://schemas.openxmlformats.org/officeDocument/2006/relationships/hyperlink" Target="mailto:name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4294967110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ICCE2014_Abstract in Depth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dc:description/>
  <cp:lastModifiedBy>wrenteria</cp:lastModifiedBy>
  <cp:revision>7</cp:revision>
  <dcterms:created xsi:type="dcterms:W3CDTF">2022-05-16T20:26:00Z</dcterms:created>
  <dcterms:modified xsi:type="dcterms:W3CDTF">2022-08-30T22:02:00Z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