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9641" w14:textId="0D04B0CE" w:rsidR="00FA1E68" w:rsidRPr="0013413D" w:rsidRDefault="00B67272" w:rsidP="00B807EE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24"/>
          <w:szCs w:val="23"/>
        </w:rPr>
      </w:pPr>
      <w:r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</w:rPr>
        <w:t>WAVE DRAG COEFFICIENT USEFUL FOR NATURE</w:t>
      </w:r>
      <w:r w:rsidR="00285E21"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</w:rPr>
        <w:t>: SEAGRASS-BASED COASTAL PROTECTION DESIGN IN ESTUARIES</w:t>
      </w:r>
    </w:p>
    <w:p w14:paraId="53BB3B97" w14:textId="77777777" w:rsidR="00FA1E68" w:rsidRDefault="00FA1E68">
      <w:pPr>
        <w:spacing w:before="5" w:after="0" w:line="110" w:lineRule="exact"/>
        <w:rPr>
          <w:sz w:val="11"/>
          <w:szCs w:val="11"/>
        </w:rPr>
      </w:pPr>
    </w:p>
    <w:p w14:paraId="50E9F2FC" w14:textId="77777777" w:rsidR="00FA1E68" w:rsidRDefault="00FA1E68">
      <w:pPr>
        <w:spacing w:after="0" w:line="200" w:lineRule="exact"/>
        <w:rPr>
          <w:sz w:val="20"/>
          <w:szCs w:val="20"/>
        </w:rPr>
      </w:pPr>
    </w:p>
    <w:p w14:paraId="3A1B934D" w14:textId="6EC1CD00" w:rsidR="00FA1E68" w:rsidRPr="00977636" w:rsidRDefault="002F2BDC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u w:val="single"/>
        </w:rPr>
        <w:t>Alice Twomey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8B6510" w:rsidRPr="00977636"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University of Queensland</w:t>
      </w:r>
      <w:r w:rsidR="008B6510" w:rsidRPr="00977636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="008B6510" w:rsidRPr="00977636">
        <w:rPr>
          <w:rFonts w:ascii="Microsoft Sans Serif" w:eastAsia="Microsoft Sans Serif" w:hAnsi="Microsoft Sans Serif" w:cs="Microsoft Sans Serif"/>
          <w:spacing w:val="22"/>
          <w:sz w:val="18"/>
          <w:szCs w:val="17"/>
        </w:rPr>
        <w:t xml:space="preserve"> </w:t>
      </w:r>
      <w:hyperlink r:id="rId6" w:history="1">
        <w:r w:rsidRPr="00A850AD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a.twomey@uq.edu.au</w:t>
        </w:r>
      </w:hyperlink>
      <w:r w:rsidR="00996A43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4EEEBE13" w14:textId="3508740D" w:rsidR="00FA1E68" w:rsidRDefault="002F2BDC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Katherine O’Brien</w:t>
      </w:r>
      <w:r w:rsidR="008B6510" w:rsidRPr="00977636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 w:rsidR="008B6510" w:rsidRPr="00977636">
        <w:rPr>
          <w:rFonts w:ascii="Microsoft Sans Serif" w:eastAsia="Microsoft Sans Serif" w:hAnsi="Microsoft Sans Serif" w:cs="Microsoft Sans Serif"/>
          <w:spacing w:val="21"/>
          <w:position w:val="-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University of Queensland</w:t>
      </w:r>
      <w:r w:rsidR="008B6510" w:rsidRPr="00977636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 w:rsidR="008B6510" w:rsidRPr="00977636">
        <w:rPr>
          <w:rFonts w:ascii="Microsoft Sans Serif" w:eastAsia="Microsoft Sans Serif" w:hAnsi="Microsoft Sans Serif" w:cs="Microsoft Sans Serif"/>
          <w:spacing w:val="27"/>
          <w:position w:val="-1"/>
          <w:sz w:val="18"/>
          <w:szCs w:val="17"/>
        </w:rPr>
        <w:t xml:space="preserve"> </w:t>
      </w:r>
      <w:hyperlink r:id="rId7" w:history="1">
        <w:r w:rsidRPr="00A850AD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k.obrien@uq.edu.au</w:t>
        </w:r>
      </w:hyperlink>
      <w:r w:rsidR="00996A43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26AF35C1" w14:textId="4295ED91" w:rsidR="002F2BDC" w:rsidRPr="00977636" w:rsidRDefault="002F2BDC" w:rsidP="002F2BDC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David Callaghan</w:t>
      </w:r>
      <w:r w:rsidRPr="00977636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 w:rsidRPr="00977636">
        <w:rPr>
          <w:rFonts w:ascii="Microsoft Sans Serif" w:eastAsia="Microsoft Sans Serif" w:hAnsi="Microsoft Sans Serif" w:cs="Microsoft Sans Serif"/>
          <w:spacing w:val="21"/>
          <w:position w:val="-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The University of Queensland</w:t>
      </w:r>
      <w:r w:rsidRPr="00977636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 w:rsidRPr="00977636">
        <w:rPr>
          <w:rFonts w:ascii="Microsoft Sans Serif" w:eastAsia="Microsoft Sans Serif" w:hAnsi="Microsoft Sans Serif" w:cs="Microsoft Sans Serif"/>
          <w:spacing w:val="27"/>
          <w:position w:val="-1"/>
          <w:sz w:val="18"/>
          <w:szCs w:val="17"/>
        </w:rPr>
        <w:t xml:space="preserve"> </w:t>
      </w:r>
      <w:hyperlink r:id="rId8" w:history="1">
        <w:r w:rsidRPr="00A850AD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dave.callaghan@uq.edu.au</w:t>
        </w:r>
      </w:hyperlink>
      <w:r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5572D753" w14:textId="4410F63E" w:rsidR="002F2BDC" w:rsidRPr="00977636" w:rsidRDefault="002F2BDC" w:rsidP="002F2BDC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Megan Saunders</w:t>
      </w:r>
      <w:r w:rsidRPr="00977636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 w:rsidRPr="00977636">
        <w:rPr>
          <w:rFonts w:ascii="Microsoft Sans Serif" w:eastAsia="Microsoft Sans Serif" w:hAnsi="Microsoft Sans Serif" w:cs="Microsoft Sans Serif"/>
          <w:spacing w:val="21"/>
          <w:position w:val="-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Oceans and Atmosphere, CSIRO</w:t>
      </w:r>
      <w:r w:rsidRPr="00977636"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 w:rsidRPr="00977636">
        <w:rPr>
          <w:rFonts w:ascii="Microsoft Sans Serif" w:eastAsia="Microsoft Sans Serif" w:hAnsi="Microsoft Sans Serif" w:cs="Microsoft Sans Serif"/>
          <w:spacing w:val="27"/>
          <w:position w:val="-1"/>
          <w:sz w:val="18"/>
          <w:szCs w:val="17"/>
        </w:rPr>
        <w:t xml:space="preserve"> </w:t>
      </w:r>
      <w:hyperlink r:id="rId9" w:history="1">
        <w:r w:rsidRPr="00A850AD"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megan.saunders@csiro.au</w:t>
        </w:r>
      </w:hyperlink>
      <w:r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71369158" w14:textId="77777777" w:rsidR="002F2BDC" w:rsidRPr="00977636" w:rsidRDefault="002F2BDC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</w:p>
    <w:p w14:paraId="37FEB538" w14:textId="77777777" w:rsidR="00FA1E68" w:rsidRDefault="00FA1E68">
      <w:pPr>
        <w:spacing w:before="11" w:after="0" w:line="260" w:lineRule="exact"/>
        <w:rPr>
          <w:sz w:val="26"/>
          <w:szCs w:val="26"/>
        </w:rPr>
      </w:pPr>
    </w:p>
    <w:p w14:paraId="417B08C6" w14:textId="77777777" w:rsidR="00FA1E68" w:rsidRDefault="00FA1E68">
      <w:pPr>
        <w:spacing w:after="0"/>
        <w:sectPr w:rsidR="00FA1E68" w:rsidSect="0040077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3EF41232" w14:textId="304AAF90" w:rsidR="006367F3" w:rsidRDefault="006367F3" w:rsidP="006367F3">
      <w:pPr>
        <w:rPr>
          <w:rFonts w:ascii="Microsoft Sans Serif" w:eastAsia="Microsoft Sans Serif" w:hAnsi="Microsoft Sans Serif" w:cs="Microsoft Sans Serif"/>
          <w:w w:val="102"/>
          <w:sz w:val="18"/>
          <w:szCs w:val="17"/>
        </w:rPr>
      </w:pP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Globally, more than 100 million people live within the low elevation coastal zone</w:t>
      </w:r>
      <w:r w:rsidR="0071000F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which is increasingly 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at risk of flooding and erosion due to sea-level rise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. </w:t>
      </w:r>
      <w:r w:rsidR="008B2F9C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W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ave attenuation provided by c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oastal ecosystems</w:t>
      </w:r>
      <w:r w:rsidR="0071000F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,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including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seagrass, </w:t>
      </w:r>
      <w:r w:rsidR="00566F4C"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mangroves,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and saltmarsh</w:t>
      </w:r>
      <w:r w:rsidR="0071000F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,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has been well studied in coastal engineering literature, but results are often not comparable due to differences in experimental methods</w:t>
      </w:r>
      <w:r w:rsidR="0053617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, 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repor</w:t>
      </w:r>
      <w:r w:rsidR="00D7657C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ting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units</w:t>
      </w:r>
      <w:r w:rsidR="0053617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and a lack of complete published datasets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.</w:t>
      </w:r>
    </w:p>
    <w:p w14:paraId="346AD2A5" w14:textId="663DEDCF" w:rsidR="006367F3" w:rsidRPr="00D2145E" w:rsidRDefault="006367F3" w:rsidP="006367F3">
      <w:pPr>
        <w:rPr>
          <w:rFonts w:ascii="Microsoft Sans Serif" w:eastAsia="Microsoft Sans Serif" w:hAnsi="Microsoft Sans Serif" w:cs="Microsoft Sans Serif"/>
          <w:w w:val="102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Many coastal ecology and conservation studies aim to </w:t>
      </w:r>
      <w:r w:rsidR="00B06A3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qualitatively 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quantify the value of these ecosystems for coastal protection</w:t>
      </w:r>
      <w:r w:rsidR="005E1658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. However,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  <w:r w:rsidR="009161B3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without data reported in a comparable format</w:t>
      </w:r>
      <w:r w:rsidR="00B06A3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, quantitative</w:t>
      </w:r>
      <w:r w:rsidR="004D36B0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values 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are not finding their way into the ecology literature</w:t>
      </w:r>
      <w:r w:rsidR="0071000F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,</w:t>
      </w:r>
      <w:r w:rsidR="009161B3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contributing to </w:t>
      </w:r>
      <w:r w:rsidR="006417ED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the misconception that ‘rules of thumb’ exist for predicting coastal protection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.</w:t>
      </w:r>
    </w:p>
    <w:p w14:paraId="011FCC8D" w14:textId="69966867" w:rsidR="006367F3" w:rsidRPr="00D2145E" w:rsidRDefault="006367F3" w:rsidP="006367F3">
      <w:pPr>
        <w:rPr>
          <w:rFonts w:ascii="Microsoft Sans Serif" w:eastAsia="Microsoft Sans Serif" w:hAnsi="Microsoft Sans Serif" w:cs="Microsoft Sans Serif"/>
          <w:w w:val="102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To alleviate the challenges of non-comparable data and incomplete datasets, t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he drag coefficient (</w:t>
      </w:r>
      <w:r w:rsidRPr="00D2145E">
        <w:rPr>
          <w:rFonts w:ascii="Microsoft Sans Serif" w:eastAsia="Microsoft Sans Serif" w:hAnsi="Microsoft Sans Serif" w:cs="Microsoft Sans Serif"/>
          <w:i/>
          <w:iCs/>
          <w:w w:val="102"/>
          <w:sz w:val="18"/>
          <w:szCs w:val="17"/>
        </w:rPr>
        <w:t>C</w:t>
      </w:r>
      <w:r w:rsidRPr="00D2145E">
        <w:rPr>
          <w:rFonts w:ascii="Microsoft Sans Serif" w:eastAsia="Microsoft Sans Serif" w:hAnsi="Microsoft Sans Serif" w:cs="Microsoft Sans Serif"/>
          <w:i/>
          <w:iCs/>
          <w:w w:val="102"/>
          <w:sz w:val="18"/>
          <w:szCs w:val="17"/>
          <w:vertAlign w:val="subscript"/>
        </w:rPr>
        <w:t>D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) is a useful tool to quantify and compare wave attenuation provided by different ecosystems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. U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sing seagrass as a case study, </w:t>
      </w:r>
      <w:r w:rsidR="008D3CC7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w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e 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conducted a meta-analysis </w:t>
      </w:r>
      <w:r w:rsidR="008267A4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of 119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seagrass-wave attenuation studies both in the field and in lab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oratory experiments</w:t>
      </w:r>
      <w:r w:rsidR="0071000F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,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  <w:r w:rsidR="008267A4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of which 11</w:t>
      </w:r>
      <w:r w:rsidR="00D84777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were eligible for inclusion in our study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  <w:r w:rsidRPr="00D2145E">
        <w:rPr>
          <w:rFonts w:ascii="Microsoft Sans Serif" w:eastAsia="Microsoft Sans Serif" w:hAnsi="Microsoft Sans Serif" w:cs="Microsoft Sans Serif"/>
          <w:noProof/>
          <w:w w:val="102"/>
          <w:sz w:val="18"/>
          <w:szCs w:val="17"/>
        </w:rPr>
        <w:t>(Twomey et al., 2020)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.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  <w:r w:rsidR="00D84777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For each dataset</w:t>
      </w:r>
      <w:r w:rsidR="0071000F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,</w:t>
      </w:r>
      <w:r w:rsidR="00D84777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w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e calculated</w:t>
      </w:r>
      <w:r w:rsidR="00D84777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missing values </w:t>
      </w:r>
      <w:r w:rsidR="0071000F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and </w:t>
      </w:r>
      <w:r w:rsidR="00D84777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determined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the drag coefficient using</w:t>
      </w:r>
      <w:r w:rsidR="005D7291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the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  <w:r w:rsidRPr="00D2145E">
        <w:rPr>
          <w:rFonts w:ascii="Microsoft Sans Serif" w:eastAsia="Microsoft Sans Serif" w:hAnsi="Microsoft Sans Serif" w:cs="Microsoft Sans Serif"/>
          <w:noProof/>
          <w:w w:val="102"/>
          <w:sz w:val="18"/>
          <w:szCs w:val="17"/>
        </w:rPr>
        <w:t>Dalrymple et al. (1984)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  <w:r w:rsidR="009E2B7B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model for energy dissipation by rigid cylinders 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accounting for vertical variations in vegetation (</w:t>
      </w:r>
      <w:r w:rsidR="009E2B7B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shoot height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, width, density).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  <w:r w:rsidR="00B67272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For typical seagrass found in the tropics</w:t>
      </w:r>
      <w:r w:rsidR="006D066F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and subtropics</w:t>
      </w:r>
      <w:r w:rsidR="00B67272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, d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rag coefficients varied from 0.02-5.12 with an average </w:t>
      </w:r>
      <w:r w:rsidRPr="00D2145E">
        <w:rPr>
          <w:rFonts w:ascii="Microsoft Sans Serif" w:eastAsia="Microsoft Sans Serif" w:hAnsi="Microsoft Sans Serif" w:cs="Microsoft Sans Serif"/>
          <w:i/>
          <w:iCs/>
          <w:w w:val="102"/>
          <w:sz w:val="18"/>
          <w:szCs w:val="17"/>
        </w:rPr>
        <w:t>C</w:t>
      </w:r>
      <w:r w:rsidRPr="00D2145E">
        <w:rPr>
          <w:rFonts w:ascii="Microsoft Sans Serif" w:eastAsia="Microsoft Sans Serif" w:hAnsi="Microsoft Sans Serif" w:cs="Microsoft Sans Serif"/>
          <w:i/>
          <w:iCs/>
          <w:w w:val="102"/>
          <w:sz w:val="18"/>
          <w:szCs w:val="17"/>
          <w:vertAlign w:val="subscript"/>
        </w:rPr>
        <w:t>D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of 0.74.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By 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differing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the </w:t>
      </w:r>
      <w:r w:rsidR="005D7291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ten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variables used to calculate </w:t>
      </w:r>
      <w:r w:rsidRPr="00D2145E">
        <w:rPr>
          <w:rFonts w:ascii="Microsoft Sans Serif" w:eastAsia="Microsoft Sans Serif" w:hAnsi="Microsoft Sans Serif" w:cs="Microsoft Sans Serif"/>
          <w:i/>
          <w:iCs/>
          <w:w w:val="102"/>
          <w:sz w:val="18"/>
          <w:szCs w:val="17"/>
        </w:rPr>
        <w:t>C</w:t>
      </w:r>
      <w:r w:rsidRPr="00D2145E">
        <w:rPr>
          <w:rFonts w:ascii="Microsoft Sans Serif" w:eastAsia="Microsoft Sans Serif" w:hAnsi="Microsoft Sans Serif" w:cs="Microsoft Sans Serif"/>
          <w:i/>
          <w:iCs/>
          <w:w w:val="102"/>
          <w:sz w:val="18"/>
          <w:szCs w:val="17"/>
          <w:vertAlign w:val="subscript"/>
        </w:rPr>
        <w:t>D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, this work graphically illustrates that there is no </w:t>
      </w:r>
      <w:r w:rsidR="000B4729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simple 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rule of thumb for predicting the wave attenuation provided by coastal ecosystems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(Figure 1)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. Specifically, the wave period, meadow length, sho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o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t density, shoot </w:t>
      </w:r>
      <w:r w:rsidR="00566F4C"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width,</w:t>
      </w:r>
      <w:r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and canopy height were identified as affecting the attenuation provided by the ecosystem.</w:t>
      </w:r>
    </w:p>
    <w:p w14:paraId="6A4D8A6E" w14:textId="518D7D68" w:rsidR="00AE08B8" w:rsidRPr="000F674F" w:rsidRDefault="00FB2698" w:rsidP="000F674F">
      <w:pPr>
        <w:rPr>
          <w:rFonts w:ascii="Microsoft Sans Serif" w:eastAsia="Microsoft Sans Serif" w:hAnsi="Microsoft Sans Serif" w:cs="Microsoft Sans Serif"/>
          <w:w w:val="102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Whilst providing a </w:t>
      </w:r>
      <w:r w:rsidR="00A630AB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valuable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framework </w:t>
      </w:r>
      <w:r w:rsidR="0029161C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for coastal engineers 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for </w:t>
      </w:r>
      <w:r w:rsidR="005D7291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comparing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wave attenuation studies using different species</w:t>
      </w:r>
      <w:r w:rsidR="00886EA6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, 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location</w:t>
      </w:r>
      <w:r w:rsidR="005D7291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s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</w:t>
      </w:r>
      <w:r w:rsidR="00886EA6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and </w:t>
      </w:r>
      <w:r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with missing data</w:t>
      </w:r>
      <w:r w:rsidR="00012E2C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, this research </w:t>
      </w:r>
      <w:r w:rsidR="00741B7A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also </w:t>
      </w:r>
      <w:r w:rsidR="00012E2C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has implications for ecology. This </w:t>
      </w:r>
      <w:r w:rsidR="006E1B23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study</w:t>
      </w:r>
      <w:r w:rsidR="00012E2C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clearly shows there is no simple</w:t>
      </w:r>
      <w:r w:rsidR="006367F3" w:rsidRPr="00D2145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rule of thumb used to </w:t>
      </w:r>
      <w:r w:rsidR="00FA7739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predict wave attenuation and highlights the importance of understanding coastal hydrodynamics</w:t>
      </w:r>
      <w:r w:rsidR="005D7291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,</w:t>
      </w:r>
      <w:r w:rsidR="007A2F33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 bridging some of the information gaps between coastal engineers and ecologists.</w:t>
      </w:r>
    </w:p>
    <w:p w14:paraId="3E1E4415" w14:textId="2A26AF20" w:rsidR="007E4BD6" w:rsidRPr="00400773" w:rsidRDefault="007E4BD6" w:rsidP="0038096F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EF7C87">
        <w:rPr>
          <w:rFonts w:cs="Arial"/>
          <w:noProof/>
          <w:lang w:eastAsia="en-AU"/>
        </w:rPr>
        <w:drawing>
          <wp:inline distT="0" distB="0" distL="0" distR="0" wp14:anchorId="29191BC5" wp14:editId="25EEE2B3">
            <wp:extent cx="2900045" cy="2822143"/>
            <wp:effectExtent l="0" t="0" r="0" b="0"/>
            <wp:docPr id="22" name="Picture 22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hart&#10;&#10;Description automatically generated with medium confidence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2" r="1840" b="1364"/>
                    <a:stretch/>
                  </pic:blipFill>
                  <pic:spPr bwMode="auto">
                    <a:xfrm>
                      <a:off x="0" y="0"/>
                      <a:ext cx="2900045" cy="2822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E93D7E" w14:textId="5F8C037A" w:rsidR="00FA1E68" w:rsidRPr="00467C72" w:rsidRDefault="008B6510">
      <w:pPr>
        <w:spacing w:before="49" w:after="0" w:line="245" w:lineRule="auto"/>
        <w:ind w:right="69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467C72"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>Fig</w:t>
      </w:r>
      <w:r w:rsidRPr="00467C72">
        <w:rPr>
          <w:rFonts w:ascii="Microsoft Sans Serif" w:eastAsia="Microsoft Sans Serif" w:hAnsi="Microsoft Sans Serif" w:cs="Microsoft Sans Serif"/>
          <w:spacing w:val="-1"/>
          <w:sz w:val="18"/>
          <w:szCs w:val="18"/>
        </w:rPr>
        <w:t>u</w:t>
      </w:r>
      <w:r w:rsidRPr="00467C72">
        <w:rPr>
          <w:rFonts w:ascii="Microsoft Sans Serif" w:eastAsia="Microsoft Sans Serif" w:hAnsi="Microsoft Sans Serif" w:cs="Microsoft Sans Serif"/>
          <w:spacing w:val="2"/>
          <w:sz w:val="18"/>
          <w:szCs w:val="18"/>
        </w:rPr>
        <w:t>r</w:t>
      </w:r>
      <w:r w:rsidRPr="00467C72">
        <w:rPr>
          <w:rFonts w:ascii="Microsoft Sans Serif" w:eastAsia="Microsoft Sans Serif" w:hAnsi="Microsoft Sans Serif" w:cs="Microsoft Sans Serif"/>
          <w:sz w:val="18"/>
          <w:szCs w:val="18"/>
        </w:rPr>
        <w:t xml:space="preserve">e </w:t>
      </w:r>
      <w:r w:rsidRPr="00467C72">
        <w:rPr>
          <w:rFonts w:ascii="Microsoft Sans Serif" w:eastAsia="Microsoft Sans Serif" w:hAnsi="Microsoft Sans Serif" w:cs="Microsoft Sans Serif"/>
          <w:spacing w:val="12"/>
          <w:sz w:val="18"/>
          <w:szCs w:val="18"/>
        </w:rPr>
        <w:t xml:space="preserve"> </w:t>
      </w:r>
      <w:r w:rsidRPr="00467C72">
        <w:rPr>
          <w:rFonts w:ascii="Microsoft Sans Serif" w:eastAsia="Microsoft Sans Serif" w:hAnsi="Microsoft Sans Serif" w:cs="Microsoft Sans Serif"/>
          <w:sz w:val="18"/>
          <w:szCs w:val="18"/>
        </w:rPr>
        <w:t xml:space="preserve">1 </w:t>
      </w:r>
      <w:r w:rsidRPr="00467C72">
        <w:rPr>
          <w:rFonts w:ascii="Microsoft Sans Serif" w:eastAsia="Microsoft Sans Serif" w:hAnsi="Microsoft Sans Serif" w:cs="Microsoft Sans Serif"/>
          <w:spacing w:val="2"/>
          <w:sz w:val="18"/>
          <w:szCs w:val="18"/>
        </w:rPr>
        <w:t xml:space="preserve"> </w:t>
      </w:r>
      <w:r w:rsidRPr="00467C72">
        <w:rPr>
          <w:rFonts w:ascii="Microsoft Sans Serif" w:eastAsia="Microsoft Sans Serif" w:hAnsi="Microsoft Sans Serif" w:cs="Microsoft Sans Serif"/>
          <w:sz w:val="18"/>
          <w:szCs w:val="18"/>
        </w:rPr>
        <w:t>–</w:t>
      </w:r>
      <w:r w:rsidRPr="00467C72">
        <w:rPr>
          <w:rFonts w:ascii="Microsoft Sans Serif" w:eastAsia="Microsoft Sans Serif" w:hAnsi="Microsoft Sans Serif" w:cs="Microsoft Sans Serif"/>
          <w:spacing w:val="44"/>
          <w:sz w:val="18"/>
          <w:szCs w:val="18"/>
        </w:rPr>
        <w:t xml:space="preserve"> </w:t>
      </w:r>
      <w:r w:rsidR="00467C72" w:rsidRPr="00467C72">
        <w:rPr>
          <w:rFonts w:ascii="Microsoft Sans Serif" w:hAnsi="Microsoft Sans Serif" w:cs="Microsoft Sans Serif"/>
          <w:sz w:val="18"/>
          <w:szCs w:val="18"/>
        </w:rPr>
        <w:t>Contours of wave height reduction (%) over the distance of a seagrass meadow as a function of mean water depth (h, horizontal axis) and meadow length for (</w:t>
      </w:r>
      <w:r w:rsidR="00467C72" w:rsidRPr="00467C72">
        <w:rPr>
          <w:rFonts w:ascii="Microsoft Sans Serif" w:hAnsi="Microsoft Sans Serif" w:cs="Microsoft Sans Serif"/>
          <w:i/>
          <w:sz w:val="18"/>
          <w:szCs w:val="18"/>
        </w:rPr>
        <w:t>C</w:t>
      </w:r>
      <w:r w:rsidR="00467C72" w:rsidRPr="00467C72">
        <w:rPr>
          <w:rFonts w:ascii="Microsoft Sans Serif" w:hAnsi="Microsoft Sans Serif" w:cs="Microsoft Sans Serif"/>
          <w:i/>
          <w:sz w:val="18"/>
          <w:szCs w:val="18"/>
          <w:vertAlign w:val="subscript"/>
        </w:rPr>
        <w:t>D</w:t>
      </w:r>
      <w:r w:rsidR="00467C72" w:rsidRPr="00467C72">
        <w:rPr>
          <w:rFonts w:ascii="Microsoft Sans Serif" w:hAnsi="Microsoft Sans Serif" w:cs="Microsoft Sans Serif"/>
          <w:sz w:val="18"/>
          <w:szCs w:val="18"/>
        </w:rPr>
        <w:t xml:space="preserve"> = 0.74; </w:t>
      </w:r>
      <w:r w:rsidR="00467C72" w:rsidRPr="00467C72">
        <w:rPr>
          <w:rFonts w:ascii="Microsoft Sans Serif" w:hAnsi="Microsoft Sans Serif" w:cs="Microsoft Sans Serif"/>
          <w:i/>
          <w:sz w:val="18"/>
          <w:szCs w:val="18"/>
        </w:rPr>
        <w:t>h</w:t>
      </w:r>
      <w:r w:rsidR="00467C72" w:rsidRPr="00467C72">
        <w:rPr>
          <w:rFonts w:ascii="Microsoft Sans Serif" w:hAnsi="Microsoft Sans Serif" w:cs="Microsoft Sans Serif"/>
          <w:i/>
          <w:sz w:val="18"/>
          <w:szCs w:val="18"/>
          <w:vertAlign w:val="subscript"/>
        </w:rPr>
        <w:t>v</w:t>
      </w:r>
      <w:r w:rsidR="00467C72" w:rsidRPr="00467C72">
        <w:rPr>
          <w:rFonts w:ascii="Microsoft Sans Serif" w:hAnsi="Microsoft Sans Serif" w:cs="Microsoft Sans Serif"/>
          <w:sz w:val="18"/>
          <w:szCs w:val="18"/>
        </w:rPr>
        <w:t xml:space="preserve"> = 0.5 m, </w:t>
      </w:r>
      <w:r w:rsidR="00467C72" w:rsidRPr="00467C72">
        <w:rPr>
          <w:rFonts w:ascii="Microsoft Sans Serif" w:hAnsi="Microsoft Sans Serif" w:cs="Microsoft Sans Serif"/>
          <w:i/>
          <w:sz w:val="18"/>
          <w:szCs w:val="18"/>
        </w:rPr>
        <w:t>H</w:t>
      </w:r>
      <w:r w:rsidR="00467C72" w:rsidRPr="00467C72">
        <w:rPr>
          <w:rFonts w:ascii="Microsoft Sans Serif" w:hAnsi="Microsoft Sans Serif" w:cs="Microsoft Sans Serif"/>
          <w:i/>
          <w:sz w:val="18"/>
          <w:szCs w:val="18"/>
          <w:vertAlign w:val="subscript"/>
        </w:rPr>
        <w:t>rms1</w:t>
      </w:r>
      <w:r w:rsidR="00467C72" w:rsidRPr="00467C72">
        <w:rPr>
          <w:rFonts w:ascii="Microsoft Sans Serif" w:hAnsi="Microsoft Sans Serif" w:cs="Microsoft Sans Serif"/>
          <w:sz w:val="18"/>
          <w:szCs w:val="18"/>
        </w:rPr>
        <w:t xml:space="preserve"> = 0.5 m) and wave peak period (</w:t>
      </w:r>
      <w:r w:rsidR="00467C72" w:rsidRPr="00467C72">
        <w:rPr>
          <w:rFonts w:ascii="Microsoft Sans Serif" w:hAnsi="Microsoft Sans Serif" w:cs="Microsoft Sans Serif"/>
          <w:i/>
          <w:sz w:val="18"/>
          <w:szCs w:val="18"/>
        </w:rPr>
        <w:t>T</w:t>
      </w:r>
      <w:r w:rsidR="00467C72" w:rsidRPr="00467C72">
        <w:rPr>
          <w:rFonts w:ascii="Microsoft Sans Serif" w:hAnsi="Microsoft Sans Serif" w:cs="Microsoft Sans Serif"/>
          <w:i/>
          <w:sz w:val="18"/>
          <w:szCs w:val="18"/>
          <w:vertAlign w:val="subscript"/>
        </w:rPr>
        <w:t>P</w:t>
      </w:r>
      <w:r w:rsidR="00467C72" w:rsidRPr="00467C72">
        <w:rPr>
          <w:rFonts w:ascii="Microsoft Sans Serif" w:hAnsi="Microsoft Sans Serif" w:cs="Microsoft Sans Serif"/>
          <w:sz w:val="18"/>
          <w:szCs w:val="18"/>
        </w:rPr>
        <w:t xml:space="preserve"> = 4, 6, 20 s) and shoot density (</w:t>
      </w:r>
      <w:r w:rsidR="00467C72" w:rsidRPr="00467C72">
        <w:rPr>
          <w:rFonts w:ascii="Microsoft Sans Serif" w:hAnsi="Microsoft Sans Serif" w:cs="Microsoft Sans Serif"/>
          <w:i/>
          <w:sz w:val="18"/>
          <w:szCs w:val="18"/>
        </w:rPr>
        <w:t>N</w:t>
      </w:r>
      <w:r w:rsidR="00467C72" w:rsidRPr="00467C72">
        <w:rPr>
          <w:rFonts w:ascii="Microsoft Sans Serif" w:hAnsi="Microsoft Sans Serif" w:cs="Microsoft Sans Serif"/>
          <w:i/>
          <w:sz w:val="18"/>
          <w:szCs w:val="18"/>
          <w:vertAlign w:val="subscript"/>
        </w:rPr>
        <w:t>v</w:t>
      </w:r>
      <w:r w:rsidR="00467C72" w:rsidRPr="00467C72">
        <w:rPr>
          <w:rFonts w:ascii="Microsoft Sans Serif" w:hAnsi="Microsoft Sans Serif" w:cs="Microsoft Sans Serif"/>
          <w:sz w:val="18"/>
          <w:szCs w:val="18"/>
        </w:rPr>
        <w:t xml:space="preserve"> = 600, 1200, 1800 shoots m</w:t>
      </w:r>
      <w:r w:rsidR="00467C72" w:rsidRPr="00467C72">
        <w:rPr>
          <w:rFonts w:ascii="Microsoft Sans Serif" w:hAnsi="Microsoft Sans Serif" w:cs="Microsoft Sans Serif"/>
          <w:sz w:val="18"/>
          <w:szCs w:val="18"/>
          <w:vertAlign w:val="superscript"/>
        </w:rPr>
        <w:t>-2</w:t>
      </w:r>
      <w:r w:rsidR="00467C72" w:rsidRPr="00467C72">
        <w:rPr>
          <w:rFonts w:ascii="Microsoft Sans Serif" w:hAnsi="Microsoft Sans Serif" w:cs="Microsoft Sans Serif"/>
          <w:sz w:val="18"/>
          <w:szCs w:val="18"/>
        </w:rPr>
        <w:t>)</w:t>
      </w:r>
      <w:r w:rsidR="00566F4C">
        <w:rPr>
          <w:rFonts w:ascii="Microsoft Sans Serif" w:hAnsi="Microsoft Sans Serif" w:cs="Microsoft Sans Serif"/>
          <w:sz w:val="18"/>
          <w:szCs w:val="18"/>
        </w:rPr>
        <w:t xml:space="preserve"> </w:t>
      </w:r>
      <w:r w:rsidR="00D07788">
        <w:rPr>
          <w:rFonts w:ascii="Microsoft Sans Serif" w:hAnsi="Microsoft Sans Serif" w:cs="Microsoft Sans Serif"/>
          <w:sz w:val="18"/>
          <w:szCs w:val="18"/>
        </w:rPr>
        <w:t>(Twomey et al.</w:t>
      </w:r>
      <w:r w:rsidR="00E66715">
        <w:rPr>
          <w:rFonts w:ascii="Microsoft Sans Serif" w:hAnsi="Microsoft Sans Serif" w:cs="Microsoft Sans Serif"/>
          <w:sz w:val="18"/>
          <w:szCs w:val="18"/>
        </w:rPr>
        <w:t xml:space="preserve"> 2020)</w:t>
      </w:r>
    </w:p>
    <w:p w14:paraId="0EE8B7F5" w14:textId="77777777" w:rsidR="00FA1E68" w:rsidRDefault="00FA1E68">
      <w:pPr>
        <w:spacing w:before="2" w:after="0" w:line="200" w:lineRule="exact"/>
        <w:rPr>
          <w:sz w:val="20"/>
          <w:szCs w:val="20"/>
        </w:rPr>
      </w:pPr>
    </w:p>
    <w:p w14:paraId="07BBF44D" w14:textId="10EC44A2" w:rsidR="000F674F" w:rsidRPr="00CC3D61" w:rsidRDefault="008B6510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w w:val="102"/>
          <w:sz w:val="18"/>
          <w:szCs w:val="18"/>
        </w:rPr>
      </w:pP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>F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R</w:t>
      </w:r>
      <w:r w:rsidRPr="00A2442E">
        <w:rPr>
          <w:rFonts w:ascii="Microsoft Sans Serif" w:eastAsia="Microsoft Sans Serif" w:hAnsi="Microsoft Sans Serif" w:cs="Microsoft Sans Serif"/>
          <w:spacing w:val="-2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</w:rPr>
        <w:t>N</w:t>
      </w:r>
      <w:r w:rsidRPr="00A2442E">
        <w:rPr>
          <w:rFonts w:ascii="Microsoft Sans Serif" w:eastAsia="Microsoft Sans Serif" w:hAnsi="Microsoft Sans Serif" w:cs="Microsoft Sans Serif"/>
          <w:spacing w:val="-2"/>
          <w:w w:val="103"/>
          <w:sz w:val="18"/>
          <w:szCs w:val="17"/>
        </w:rPr>
        <w:t>C</w:t>
      </w:r>
      <w:r w:rsidRPr="00A2442E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</w:rPr>
        <w:t>E</w:t>
      </w:r>
      <w:r w:rsidRPr="00A2442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S</w:t>
      </w:r>
    </w:p>
    <w:p w14:paraId="22021870" w14:textId="0FE47BC4" w:rsidR="00CC3D61" w:rsidRPr="00C74CBE" w:rsidRDefault="00CC3D61" w:rsidP="00C74CBE">
      <w:pPr>
        <w:rPr>
          <w:rFonts w:ascii="Microsoft Sans Serif" w:eastAsia="Microsoft Sans Serif" w:hAnsi="Microsoft Sans Serif" w:cs="Microsoft Sans Serif"/>
          <w:w w:val="102"/>
          <w:sz w:val="18"/>
          <w:szCs w:val="17"/>
        </w:rPr>
      </w:pPr>
      <w:r w:rsidRPr="00C74CB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Dalrymple, R. A., Kirby, J. T. &amp; Hwang, P. A. 1984. Wave Diffraction Due to Areas of Energy Dissipation. </w:t>
      </w:r>
      <w:r w:rsidRPr="00C74CBE">
        <w:rPr>
          <w:rFonts w:ascii="Microsoft Sans Serif" w:eastAsia="Microsoft Sans Serif" w:hAnsi="Microsoft Sans Serif" w:cs="Microsoft Sans Serif"/>
          <w:i/>
          <w:iCs/>
          <w:w w:val="102"/>
          <w:sz w:val="18"/>
          <w:szCs w:val="17"/>
        </w:rPr>
        <w:t>Journal of Waterway, Port, Coastal, and Ocean Engineering</w:t>
      </w:r>
      <w:r w:rsidRPr="00C74CB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, 110, 67-79.</w:t>
      </w:r>
    </w:p>
    <w:p w14:paraId="535C8C8C" w14:textId="538FBDA0" w:rsidR="000F674F" w:rsidRPr="00D07788" w:rsidRDefault="00CC3D61" w:rsidP="00C74CBE">
      <w:pPr>
        <w:rPr>
          <w:rFonts w:ascii="Microsoft Sans Serif" w:eastAsia="Microsoft Sans Serif" w:hAnsi="Microsoft Sans Serif" w:cs="Microsoft Sans Serif"/>
          <w:w w:val="102"/>
          <w:sz w:val="18"/>
          <w:szCs w:val="17"/>
        </w:rPr>
      </w:pPr>
      <w:r w:rsidRPr="00C74CB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 xml:space="preserve">Twomey, A. J., O'Brien, K. R., Callaghan, D. P. &amp; Saunders, M. I. 2020. Synthesising wave attenuation for seagrass: Drag coefficient as a unifying indicator. </w:t>
      </w:r>
      <w:r w:rsidRPr="00C74CBE">
        <w:rPr>
          <w:rFonts w:ascii="Microsoft Sans Serif" w:eastAsia="Microsoft Sans Serif" w:hAnsi="Microsoft Sans Serif" w:cs="Microsoft Sans Serif"/>
          <w:i/>
          <w:iCs/>
          <w:w w:val="102"/>
          <w:sz w:val="18"/>
          <w:szCs w:val="17"/>
        </w:rPr>
        <w:t>Marine Pollution Bulletin</w:t>
      </w:r>
      <w:r w:rsidRPr="00C74CBE">
        <w:rPr>
          <w:rFonts w:ascii="Microsoft Sans Serif" w:eastAsia="Microsoft Sans Serif" w:hAnsi="Microsoft Sans Serif" w:cs="Microsoft Sans Serif"/>
          <w:w w:val="102"/>
          <w:sz w:val="18"/>
          <w:szCs w:val="17"/>
        </w:rPr>
        <w:t>, 160, 111661.</w:t>
      </w:r>
    </w:p>
    <w:sectPr w:rsidR="000F674F" w:rsidRPr="00D07788" w:rsidSect="00400773">
      <w:type w:val="continuous"/>
      <w:pgSz w:w="12240" w:h="15840" w:code="1"/>
      <w:pgMar w:top="1440" w:right="1021" w:bottom="1440" w:left="1021" w:header="709" w:footer="709" w:gutter="0"/>
      <w:cols w:num="2" w:space="708" w:equalWidth="0">
        <w:col w:w="4567" w:space="687"/>
        <w:col w:w="46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AEEC" w14:textId="77777777" w:rsidR="008C3987" w:rsidRDefault="008C3987" w:rsidP="0013413D">
      <w:pPr>
        <w:spacing w:after="0" w:line="240" w:lineRule="auto"/>
      </w:pPr>
      <w:r>
        <w:separator/>
      </w:r>
    </w:p>
  </w:endnote>
  <w:endnote w:type="continuationSeparator" w:id="0">
    <w:p w14:paraId="537887CD" w14:textId="77777777" w:rsidR="008C3987" w:rsidRDefault="008C3987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9EA0" w14:textId="77777777" w:rsidR="00D07788" w:rsidRDefault="00D07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04B6" w14:textId="77777777" w:rsidR="00D07788" w:rsidRDefault="00D077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E2B4" w14:textId="77777777" w:rsidR="00D07788" w:rsidRDefault="00D07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101C" w14:textId="77777777" w:rsidR="008C3987" w:rsidRDefault="008C3987" w:rsidP="0013413D">
      <w:pPr>
        <w:spacing w:after="0" w:line="240" w:lineRule="auto"/>
      </w:pPr>
      <w:r>
        <w:separator/>
      </w:r>
    </w:p>
  </w:footnote>
  <w:footnote w:type="continuationSeparator" w:id="0">
    <w:p w14:paraId="0F34F8AC" w14:textId="77777777" w:rsidR="008C3987" w:rsidRDefault="008C3987" w:rsidP="0013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D287" w14:textId="77777777" w:rsidR="00D07788" w:rsidRDefault="00D07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3FBD" w14:textId="77777777" w:rsidR="00D07788" w:rsidRDefault="00D077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DE16" w14:textId="77777777" w:rsidR="00D07788" w:rsidRDefault="00D07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wNDSyNDEyMTW3MDdQ0lEKTi0uzszPAykwrgUA/vnFp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in Section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fpzf2vxzzxw2edpswp0f0rdt92fdxtvppp&quot;&gt;Postdoc-New&lt;record-ids&gt;&lt;item&gt;567&lt;/item&gt;&lt;/record-ids&gt;&lt;/item&gt;&lt;/Libraries&gt;"/>
  </w:docVars>
  <w:rsids>
    <w:rsidRoot w:val="00FA1E68"/>
    <w:rsid w:val="00012E2C"/>
    <w:rsid w:val="00013488"/>
    <w:rsid w:val="00062759"/>
    <w:rsid w:val="000B4729"/>
    <w:rsid w:val="000E4EE9"/>
    <w:rsid w:val="000F674F"/>
    <w:rsid w:val="0013248A"/>
    <w:rsid w:val="0013413D"/>
    <w:rsid w:val="00150542"/>
    <w:rsid w:val="0023629F"/>
    <w:rsid w:val="00245AF2"/>
    <w:rsid w:val="00250516"/>
    <w:rsid w:val="00284ADF"/>
    <w:rsid w:val="00285E21"/>
    <w:rsid w:val="0029161C"/>
    <w:rsid w:val="002B6643"/>
    <w:rsid w:val="002F2BDC"/>
    <w:rsid w:val="00371B44"/>
    <w:rsid w:val="0038096F"/>
    <w:rsid w:val="003926F6"/>
    <w:rsid w:val="003A4975"/>
    <w:rsid w:val="00400773"/>
    <w:rsid w:val="004206B7"/>
    <w:rsid w:val="00467C72"/>
    <w:rsid w:val="004A6CDB"/>
    <w:rsid w:val="004C3EEC"/>
    <w:rsid w:val="004D36B0"/>
    <w:rsid w:val="004D6436"/>
    <w:rsid w:val="0053617E"/>
    <w:rsid w:val="00541319"/>
    <w:rsid w:val="00566F4C"/>
    <w:rsid w:val="005D7291"/>
    <w:rsid w:val="005E1658"/>
    <w:rsid w:val="005F4070"/>
    <w:rsid w:val="005F577A"/>
    <w:rsid w:val="006041DE"/>
    <w:rsid w:val="006323C3"/>
    <w:rsid w:val="006367F3"/>
    <w:rsid w:val="006417ED"/>
    <w:rsid w:val="006D066F"/>
    <w:rsid w:val="006E1B23"/>
    <w:rsid w:val="0071000F"/>
    <w:rsid w:val="0072430C"/>
    <w:rsid w:val="00741B7A"/>
    <w:rsid w:val="00755BA7"/>
    <w:rsid w:val="007A2F33"/>
    <w:rsid w:val="007E4BD6"/>
    <w:rsid w:val="007F6B38"/>
    <w:rsid w:val="00821090"/>
    <w:rsid w:val="008267A4"/>
    <w:rsid w:val="00841026"/>
    <w:rsid w:val="00886EA6"/>
    <w:rsid w:val="008B2F9C"/>
    <w:rsid w:val="008B3C48"/>
    <w:rsid w:val="008B6510"/>
    <w:rsid w:val="008C3987"/>
    <w:rsid w:val="008D3CC7"/>
    <w:rsid w:val="009161B3"/>
    <w:rsid w:val="00923EF4"/>
    <w:rsid w:val="00977636"/>
    <w:rsid w:val="00996A43"/>
    <w:rsid w:val="009C21C4"/>
    <w:rsid w:val="009E2B7B"/>
    <w:rsid w:val="00A2442E"/>
    <w:rsid w:val="00A630AB"/>
    <w:rsid w:val="00AE08B8"/>
    <w:rsid w:val="00B06A3E"/>
    <w:rsid w:val="00B67272"/>
    <w:rsid w:val="00B73AB8"/>
    <w:rsid w:val="00B807EE"/>
    <w:rsid w:val="00B94FDB"/>
    <w:rsid w:val="00C74CBE"/>
    <w:rsid w:val="00CC3D61"/>
    <w:rsid w:val="00CE1A93"/>
    <w:rsid w:val="00D07788"/>
    <w:rsid w:val="00D258EB"/>
    <w:rsid w:val="00D7657C"/>
    <w:rsid w:val="00D84777"/>
    <w:rsid w:val="00E00537"/>
    <w:rsid w:val="00E12CE0"/>
    <w:rsid w:val="00E66715"/>
    <w:rsid w:val="00F415ED"/>
    <w:rsid w:val="00F722DE"/>
    <w:rsid w:val="00FA1E68"/>
    <w:rsid w:val="00FA7739"/>
    <w:rsid w:val="00FB269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character" w:styleId="UnresolvedMention">
    <w:name w:val="Unresolved Mention"/>
    <w:basedOn w:val="DefaultParagraphFont"/>
    <w:uiPriority w:val="99"/>
    <w:semiHidden/>
    <w:unhideWhenUsed/>
    <w:rsid w:val="002F2BDC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CC3D61"/>
    <w:pPr>
      <w:widowControl/>
      <w:spacing w:after="160"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C3D61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566F4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6F4C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.callaghan@uq.edu.a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.obrien@uq.edu.au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mailto:a.twomey@uq.edu.a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egan.saunders@csiro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ICCE2014_Abstract in Depth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Alice Twomey</cp:lastModifiedBy>
  <cp:revision>72</cp:revision>
  <cp:lastPrinted>2022-08-08T04:00:00Z</cp:lastPrinted>
  <dcterms:created xsi:type="dcterms:W3CDTF">2022-05-03T00:34:00Z</dcterms:created>
  <dcterms:modified xsi:type="dcterms:W3CDTF">2022-08-08T04:13:00Z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2022-05-03T00:28:12Z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001e8eeb-294b-4a10-a394-cc888150b38b</vt:lpwstr>
  </property>
  <property fmtid="{D5CDD505-2E9C-101B-9397-08002B2CF9AE}" pid="10" name="MSIP_Label_0f488380-630a-4f55-a077-a19445e3f360_ContentBits">
    <vt:lpwstr>0</vt:lpwstr>
  </property>
</Properties>
</file>