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29641" w14:textId="0040855D" w:rsidR="00FA1E68" w:rsidRPr="0013413D" w:rsidRDefault="00586FD0" w:rsidP="00B807EE">
      <w:pPr>
        <w:spacing w:after="0" w:line="240" w:lineRule="auto"/>
        <w:jc w:val="center"/>
        <w:rPr>
          <w:rFonts w:ascii="Microsoft Sans Serif" w:eastAsia="Microsoft Sans Serif" w:hAnsi="Microsoft Sans Serif" w:cs="Microsoft Sans Serif"/>
          <w:b/>
          <w:sz w:val="24"/>
          <w:szCs w:val="23"/>
        </w:rPr>
      </w:pPr>
      <w:r w:rsidRPr="00586FD0">
        <w:rPr>
          <w:rFonts w:ascii="Microsoft Sans Serif" w:eastAsia="Microsoft Sans Serif" w:hAnsi="Microsoft Sans Serif" w:cs="Microsoft Sans Serif"/>
          <w:b/>
          <w:sz w:val="24"/>
          <w:szCs w:val="23"/>
        </w:rPr>
        <w:t xml:space="preserve">PROBABILISTIC APPROACHES FOR ASSESSING </w:t>
      </w:r>
      <w:r>
        <w:rPr>
          <w:rFonts w:ascii="Microsoft Sans Serif" w:eastAsia="Microsoft Sans Serif" w:hAnsi="Microsoft Sans Serif" w:cs="Microsoft Sans Serif"/>
          <w:b/>
          <w:sz w:val="24"/>
          <w:szCs w:val="23"/>
        </w:rPr>
        <w:t xml:space="preserve">EROSION </w:t>
      </w:r>
      <w:r w:rsidRPr="00586FD0">
        <w:rPr>
          <w:rFonts w:ascii="Microsoft Sans Serif" w:eastAsia="Microsoft Sans Serif" w:hAnsi="Microsoft Sans Serif" w:cs="Microsoft Sans Serif"/>
          <w:b/>
          <w:sz w:val="24"/>
          <w:szCs w:val="23"/>
        </w:rPr>
        <w:t xml:space="preserve">HAZARD </w:t>
      </w:r>
      <w:r>
        <w:rPr>
          <w:rFonts w:ascii="Microsoft Sans Serif" w:eastAsia="Microsoft Sans Serif" w:hAnsi="Microsoft Sans Serif" w:cs="Microsoft Sans Serif"/>
          <w:b/>
          <w:sz w:val="24"/>
          <w:szCs w:val="23"/>
        </w:rPr>
        <w:t>ALONG</w:t>
      </w:r>
      <w:r w:rsidRPr="00586FD0">
        <w:rPr>
          <w:rFonts w:ascii="Microsoft Sans Serif" w:eastAsia="Microsoft Sans Serif" w:hAnsi="Microsoft Sans Serif" w:cs="Microsoft Sans Serif"/>
          <w:b/>
          <w:sz w:val="24"/>
          <w:szCs w:val="23"/>
        </w:rPr>
        <w:t xml:space="preserve"> NEW SOUTH WALES MID NORTH COAST</w:t>
      </w:r>
    </w:p>
    <w:p w14:paraId="53BB3B97" w14:textId="77777777" w:rsidR="00FA1E68" w:rsidRDefault="00FA1E68">
      <w:pPr>
        <w:spacing w:before="5" w:after="0" w:line="110" w:lineRule="exact"/>
        <w:rPr>
          <w:sz w:val="11"/>
          <w:szCs w:val="11"/>
        </w:rPr>
      </w:pPr>
    </w:p>
    <w:p w14:paraId="50E9F2FC" w14:textId="77777777" w:rsidR="00FA1E68" w:rsidRDefault="00FA1E68">
      <w:pPr>
        <w:spacing w:after="0" w:line="200" w:lineRule="exact"/>
        <w:rPr>
          <w:sz w:val="20"/>
          <w:szCs w:val="20"/>
        </w:rPr>
      </w:pPr>
    </w:p>
    <w:p w14:paraId="21709854" w14:textId="77777777" w:rsidR="00907576" w:rsidRPr="00CD47BB" w:rsidRDefault="00907576" w:rsidP="00907576">
      <w:pPr>
        <w:spacing w:after="0" w:line="240" w:lineRule="auto"/>
        <w:ind w:right="99"/>
        <w:jc w:val="center"/>
        <w:rPr>
          <w:rFonts w:ascii="Microsoft Sans Serif" w:eastAsia="Microsoft Sans Serif" w:hAnsi="Microsoft Sans Serif" w:cs="Microsoft Sans Serif"/>
          <w:sz w:val="18"/>
          <w:szCs w:val="17"/>
        </w:rPr>
      </w:pPr>
      <w:r w:rsidRPr="00907576">
        <w:rPr>
          <w:rFonts w:ascii="Microsoft Sans Serif" w:eastAsia="Microsoft Sans Serif" w:hAnsi="Microsoft Sans Serif" w:cs="Microsoft Sans Serif"/>
          <w:spacing w:val="1"/>
          <w:sz w:val="18"/>
          <w:szCs w:val="17"/>
          <w:u w:val="single"/>
        </w:rPr>
        <w:t>Michael Thomson</w:t>
      </w:r>
      <w:r w:rsidRPr="00CD47BB">
        <w:rPr>
          <w:rFonts w:ascii="Microsoft Sans Serif" w:eastAsia="Microsoft Sans Serif" w:hAnsi="Microsoft Sans Serif" w:cs="Microsoft Sans Serif"/>
          <w:sz w:val="18"/>
          <w:szCs w:val="17"/>
        </w:rPr>
        <w:t>,</w:t>
      </w:r>
      <w:r w:rsidRPr="00CD47BB">
        <w:rPr>
          <w:rFonts w:ascii="Microsoft Sans Serif" w:eastAsia="Microsoft Sans Serif" w:hAnsi="Microsoft Sans Serif" w:cs="Microsoft Sans Serif"/>
          <w:spacing w:val="21"/>
          <w:sz w:val="18"/>
          <w:szCs w:val="17"/>
        </w:rPr>
        <w:t xml:space="preserve"> JBPacific</w:t>
      </w:r>
      <w:r w:rsidRPr="00CD47BB">
        <w:rPr>
          <w:rFonts w:ascii="Microsoft Sans Serif" w:eastAsia="Microsoft Sans Serif" w:hAnsi="Microsoft Sans Serif" w:cs="Microsoft Sans Serif"/>
          <w:sz w:val="18"/>
          <w:szCs w:val="17"/>
        </w:rPr>
        <w:t>,</w:t>
      </w:r>
      <w:r>
        <w:rPr>
          <w:rFonts w:ascii="Microsoft Sans Serif" w:eastAsia="Microsoft Sans Serif" w:hAnsi="Microsoft Sans Serif" w:cs="Microsoft Sans Serif"/>
          <w:sz w:val="18"/>
          <w:szCs w:val="17"/>
        </w:rPr>
        <w:t xml:space="preserve"> </w:t>
      </w:r>
      <w:hyperlink r:id="rId8" w:history="1">
        <w:r w:rsidRPr="00F41A4E">
          <w:rPr>
            <w:rStyle w:val="Hyperlink"/>
            <w:rFonts w:ascii="Microsoft Sans Serif" w:eastAsia="Microsoft Sans Serif" w:hAnsi="Microsoft Sans Serif" w:cs="Microsoft Sans Serif"/>
            <w:sz w:val="18"/>
            <w:szCs w:val="17"/>
          </w:rPr>
          <w:t>Michael.thomson@jbpacific.com.au</w:t>
        </w:r>
      </w:hyperlink>
      <w:r>
        <w:rPr>
          <w:rFonts w:ascii="Microsoft Sans Serif" w:eastAsia="Microsoft Sans Serif" w:hAnsi="Microsoft Sans Serif" w:cs="Microsoft Sans Serif"/>
          <w:sz w:val="18"/>
          <w:szCs w:val="17"/>
        </w:rPr>
        <w:t xml:space="preserve"> </w:t>
      </w:r>
      <w:r w:rsidRPr="00CD47BB">
        <w:rPr>
          <w:rFonts w:ascii="Microsoft Sans Serif" w:eastAsia="Microsoft Sans Serif" w:hAnsi="Microsoft Sans Serif" w:cs="Microsoft Sans Serif"/>
          <w:sz w:val="18"/>
          <w:szCs w:val="17"/>
        </w:rPr>
        <w:t xml:space="preserve"> </w:t>
      </w:r>
    </w:p>
    <w:p w14:paraId="3A1B934D" w14:textId="3CE516D2" w:rsidR="00FA1E68" w:rsidRDefault="00CD47BB" w:rsidP="00977636">
      <w:pPr>
        <w:spacing w:after="0" w:line="240" w:lineRule="auto"/>
        <w:ind w:right="99"/>
        <w:jc w:val="center"/>
        <w:rPr>
          <w:rFonts w:ascii="Microsoft Sans Serif" w:eastAsia="Microsoft Sans Serif" w:hAnsi="Microsoft Sans Serif" w:cs="Microsoft Sans Serif"/>
          <w:sz w:val="18"/>
          <w:szCs w:val="17"/>
        </w:rPr>
      </w:pPr>
      <w:r w:rsidRPr="00907576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Daniel Rodger</w:t>
      </w:r>
      <w:r w:rsidR="008B6510" w:rsidRPr="00977636">
        <w:rPr>
          <w:rFonts w:ascii="Microsoft Sans Serif" w:eastAsia="Microsoft Sans Serif" w:hAnsi="Microsoft Sans Serif" w:cs="Microsoft Sans Serif"/>
          <w:sz w:val="18"/>
          <w:szCs w:val="17"/>
        </w:rPr>
        <w:t>,</w:t>
      </w:r>
      <w:r w:rsidR="008B6510" w:rsidRPr="00977636">
        <w:rPr>
          <w:rFonts w:ascii="Microsoft Sans Serif" w:eastAsia="Microsoft Sans Serif" w:hAnsi="Microsoft Sans Serif" w:cs="Microsoft Sans Serif"/>
          <w:spacing w:val="21"/>
          <w:sz w:val="18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spacing w:val="21"/>
          <w:sz w:val="18"/>
          <w:szCs w:val="17"/>
        </w:rPr>
        <w:t>JBPacific</w:t>
      </w:r>
      <w:r w:rsidR="008B6510" w:rsidRPr="00977636">
        <w:rPr>
          <w:rFonts w:ascii="Microsoft Sans Serif" w:eastAsia="Microsoft Sans Serif" w:hAnsi="Microsoft Sans Serif" w:cs="Microsoft Sans Serif"/>
          <w:sz w:val="18"/>
          <w:szCs w:val="17"/>
        </w:rPr>
        <w:t>,</w:t>
      </w:r>
      <w:r>
        <w:rPr>
          <w:rFonts w:ascii="Microsoft Sans Serif" w:eastAsia="Microsoft Sans Serif" w:hAnsi="Microsoft Sans Serif" w:cs="Microsoft Sans Serif"/>
          <w:sz w:val="18"/>
          <w:szCs w:val="17"/>
        </w:rPr>
        <w:t xml:space="preserve"> </w:t>
      </w:r>
      <w:hyperlink r:id="rId9" w:history="1">
        <w:r w:rsidRPr="00F41A4E">
          <w:rPr>
            <w:rStyle w:val="Hyperlink"/>
            <w:rFonts w:ascii="Microsoft Sans Serif" w:eastAsia="Microsoft Sans Serif" w:hAnsi="Microsoft Sans Serif" w:cs="Microsoft Sans Serif"/>
            <w:sz w:val="18"/>
            <w:szCs w:val="17"/>
          </w:rPr>
          <w:t>daniel.rodger@jbpacific.com.au</w:t>
        </w:r>
      </w:hyperlink>
      <w:r>
        <w:rPr>
          <w:rFonts w:ascii="Microsoft Sans Serif" w:eastAsia="Microsoft Sans Serif" w:hAnsi="Microsoft Sans Serif" w:cs="Microsoft Sans Serif"/>
          <w:sz w:val="18"/>
          <w:szCs w:val="17"/>
        </w:rPr>
        <w:t xml:space="preserve"> </w:t>
      </w:r>
    </w:p>
    <w:p w14:paraId="772951E4" w14:textId="693EF99D" w:rsidR="00CD47BB" w:rsidRPr="00977636" w:rsidRDefault="00907576" w:rsidP="00CD47BB">
      <w:pPr>
        <w:spacing w:after="0" w:line="240" w:lineRule="auto"/>
        <w:ind w:right="99"/>
        <w:jc w:val="center"/>
        <w:rPr>
          <w:rFonts w:ascii="Microsoft Sans Serif" w:eastAsia="Microsoft Sans Serif" w:hAnsi="Microsoft Sans Serif" w:cs="Microsoft Sans Serif"/>
          <w:sz w:val="18"/>
          <w:szCs w:val="17"/>
        </w:rPr>
      </w:pPr>
      <w:r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Dr Doug Pender</w:t>
      </w:r>
      <w:r w:rsidR="00CD47BB" w:rsidRPr="00CD47BB">
        <w:rPr>
          <w:rFonts w:ascii="Microsoft Sans Serif" w:eastAsia="Microsoft Sans Serif" w:hAnsi="Microsoft Sans Serif" w:cs="Microsoft Sans Serif"/>
          <w:sz w:val="18"/>
          <w:szCs w:val="17"/>
        </w:rPr>
        <w:t>,</w:t>
      </w:r>
      <w:r w:rsidR="00CD47BB" w:rsidRPr="00977636">
        <w:rPr>
          <w:rFonts w:ascii="Microsoft Sans Serif" w:eastAsia="Microsoft Sans Serif" w:hAnsi="Microsoft Sans Serif" w:cs="Microsoft Sans Serif"/>
          <w:spacing w:val="21"/>
          <w:sz w:val="18"/>
          <w:szCs w:val="17"/>
        </w:rPr>
        <w:t xml:space="preserve"> </w:t>
      </w:r>
      <w:r w:rsidR="00CD47BB">
        <w:rPr>
          <w:rFonts w:ascii="Microsoft Sans Serif" w:eastAsia="Microsoft Sans Serif" w:hAnsi="Microsoft Sans Serif" w:cs="Microsoft Sans Serif"/>
          <w:spacing w:val="21"/>
          <w:sz w:val="18"/>
          <w:szCs w:val="17"/>
        </w:rPr>
        <w:t>JBA Consulting</w:t>
      </w:r>
      <w:r w:rsidR="00CD47BB" w:rsidRPr="00977636">
        <w:rPr>
          <w:rFonts w:ascii="Microsoft Sans Serif" w:eastAsia="Microsoft Sans Serif" w:hAnsi="Microsoft Sans Serif" w:cs="Microsoft Sans Serif"/>
          <w:sz w:val="18"/>
          <w:szCs w:val="17"/>
        </w:rPr>
        <w:t>,</w:t>
      </w:r>
      <w:r>
        <w:rPr>
          <w:rFonts w:ascii="Microsoft Sans Serif" w:eastAsia="Microsoft Sans Serif" w:hAnsi="Microsoft Sans Serif" w:cs="Microsoft Sans Serif"/>
          <w:sz w:val="18"/>
          <w:szCs w:val="17"/>
        </w:rPr>
        <w:t xml:space="preserve"> </w:t>
      </w:r>
      <w:hyperlink r:id="rId10" w:history="1">
        <w:r w:rsidRPr="00B2006E">
          <w:rPr>
            <w:rStyle w:val="Hyperlink"/>
            <w:rFonts w:ascii="Microsoft Sans Serif" w:eastAsia="Microsoft Sans Serif" w:hAnsi="Microsoft Sans Serif" w:cs="Microsoft Sans Serif"/>
            <w:sz w:val="18"/>
            <w:szCs w:val="17"/>
          </w:rPr>
          <w:t>Doug.Pender@jbaconsulting.com</w:t>
        </w:r>
      </w:hyperlink>
      <w:r>
        <w:rPr>
          <w:rFonts w:ascii="Microsoft Sans Serif" w:eastAsia="Microsoft Sans Serif" w:hAnsi="Microsoft Sans Serif" w:cs="Microsoft Sans Serif"/>
          <w:sz w:val="18"/>
          <w:szCs w:val="17"/>
        </w:rPr>
        <w:t xml:space="preserve"> </w:t>
      </w:r>
      <w:r w:rsidR="00CD47BB">
        <w:rPr>
          <w:rFonts w:ascii="Microsoft Sans Serif" w:eastAsia="Microsoft Sans Serif" w:hAnsi="Microsoft Sans Serif" w:cs="Microsoft Sans Serif"/>
          <w:sz w:val="18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sz w:val="18"/>
          <w:szCs w:val="17"/>
        </w:rPr>
        <w:t xml:space="preserve"> </w:t>
      </w:r>
    </w:p>
    <w:p w14:paraId="27796520" w14:textId="77777777" w:rsidR="00CD47BB" w:rsidRPr="00977636" w:rsidRDefault="00CD47BB" w:rsidP="00977636">
      <w:pPr>
        <w:spacing w:after="0" w:line="240" w:lineRule="auto"/>
        <w:ind w:right="99"/>
        <w:jc w:val="center"/>
        <w:rPr>
          <w:rFonts w:ascii="Microsoft Sans Serif" w:eastAsia="Microsoft Sans Serif" w:hAnsi="Microsoft Sans Serif" w:cs="Microsoft Sans Serif"/>
          <w:sz w:val="18"/>
          <w:szCs w:val="17"/>
        </w:rPr>
      </w:pPr>
    </w:p>
    <w:p w14:paraId="37FEB538" w14:textId="77777777" w:rsidR="00FA1E68" w:rsidRDefault="00FA1E68">
      <w:pPr>
        <w:spacing w:before="11" w:after="0" w:line="260" w:lineRule="exact"/>
        <w:rPr>
          <w:sz w:val="26"/>
          <w:szCs w:val="26"/>
        </w:rPr>
      </w:pPr>
    </w:p>
    <w:p w14:paraId="417B08C6" w14:textId="77777777" w:rsidR="00FA1E68" w:rsidRDefault="00FA1E68">
      <w:pPr>
        <w:spacing w:after="0"/>
        <w:sectPr w:rsidR="00FA1E68" w:rsidSect="00400773">
          <w:type w:val="continuous"/>
          <w:pgSz w:w="12240" w:h="15840" w:code="1"/>
          <w:pgMar w:top="1440" w:right="1021" w:bottom="1440" w:left="1021" w:header="709" w:footer="709" w:gutter="0"/>
          <w:cols w:space="708"/>
          <w:docGrid w:linePitch="299"/>
        </w:sectPr>
      </w:pPr>
    </w:p>
    <w:p w14:paraId="697C4595" w14:textId="09EE58C7" w:rsidR="00093263" w:rsidRDefault="00907576" w:rsidP="00907576">
      <w:pPr>
        <w:spacing w:after="0" w:line="240" w:lineRule="auto"/>
        <w:jc w:val="both"/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</w:pPr>
      <w:r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A probabilistic shoreline hazard assessment </w:t>
      </w:r>
      <w:r w:rsidR="00C80A6D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has been</w:t>
      </w:r>
      <w:r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undertaken for the Clarence Valley coastline </w:t>
      </w:r>
      <w:r w:rsidR="00C80A6D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on the </w:t>
      </w:r>
      <w:r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Mid North Coast of New South Wale</w:t>
      </w:r>
      <w:r w:rsidR="00C80A6D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s</w:t>
      </w:r>
      <w:r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.  </w:t>
      </w:r>
      <w:r w:rsidR="00093263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The assessment was unique in its size</w:t>
      </w:r>
      <w:r w:rsidR="00C80A6D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and scope</w:t>
      </w:r>
      <w:r w:rsidR="00093263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, implementing a detailed probabilistic methodology that spanned 70km of varying coastline, including a range of open coasts, embayed beaches, multiple headlands, river training walls, sand sources and sinks.  It was designed to meet the requirements of the NSW Management Manual, for inclusion within a</w:t>
      </w:r>
      <w:r w:rsidR="00C80A6D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n updated </w:t>
      </w:r>
      <w:r w:rsidR="00093263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Coastal Management Program.</w:t>
      </w:r>
    </w:p>
    <w:p w14:paraId="40E4090A" w14:textId="18BEC445" w:rsidR="00907576" w:rsidRDefault="00093263" w:rsidP="00907576">
      <w:pPr>
        <w:spacing w:after="0" w:line="240" w:lineRule="auto"/>
        <w:jc w:val="both"/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</w:pPr>
      <w:r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   </w:t>
      </w:r>
      <w:r w:rsidR="00907576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</w:t>
      </w:r>
    </w:p>
    <w:p w14:paraId="1E442F4A" w14:textId="200F6E90" w:rsidR="004F4857" w:rsidRDefault="00907576" w:rsidP="00093263">
      <w:pPr>
        <w:spacing w:after="0" w:line="240" w:lineRule="auto"/>
        <w:jc w:val="both"/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</w:pPr>
      <w:r w:rsidRPr="00907576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The </w:t>
      </w:r>
      <w:r w:rsidR="00093263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coastline </w:t>
      </w:r>
      <w:r w:rsidR="00C80A6D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was initially</w:t>
      </w:r>
      <w:r w:rsidR="00093263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subject to a </w:t>
      </w:r>
      <w:r w:rsidR="00093263" w:rsidRPr="00093263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Proximity </w:t>
      </w:r>
      <w:r w:rsidR="00093263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A</w:t>
      </w:r>
      <w:r w:rsidR="00093263" w:rsidRPr="00093263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nalysis (First pass</w:t>
      </w:r>
      <w:r w:rsidR="00093263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assessment</w:t>
      </w:r>
      <w:r w:rsidR="00093263" w:rsidRPr="00093263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)</w:t>
      </w:r>
      <w:r w:rsidR="00093263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and a </w:t>
      </w:r>
      <w:r w:rsidR="00093263" w:rsidRPr="00093263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Regional-scale </w:t>
      </w:r>
      <w:r w:rsidR="00093263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Assessment </w:t>
      </w:r>
      <w:r w:rsidR="00093263" w:rsidRPr="00093263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(Second pass</w:t>
      </w:r>
      <w:r w:rsidR="00093263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).  </w:t>
      </w:r>
      <w:r w:rsidR="004F4857" w:rsidRPr="004F4857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The First Pass assessment used a simple proximity analysis to consider potentially erodible sandy coast</w:t>
      </w:r>
      <w:r w:rsidR="00C80A6D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line that</w:t>
      </w:r>
      <w:r w:rsidR="004F4857" w:rsidRPr="004F4857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featur</w:t>
      </w:r>
      <w:r w:rsidR="00C80A6D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ed</w:t>
      </w:r>
      <w:r w:rsidR="004F4857" w:rsidRPr="004F4857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properties that may be affected by coastal erosion at present or in the future</w:t>
      </w:r>
      <w:r w:rsidR="004F4857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.  </w:t>
      </w:r>
      <w:r w:rsidR="004F4857" w:rsidRPr="004F4857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The Second Pass assessment used a sediment-compartment templating approach to characterize the morphology and sediment budgets of NSW beaches. This was applied through a probabilistic framework to consider uncertainty in model inputs</w:t>
      </w:r>
      <w:r w:rsidR="004F4857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, using </w:t>
      </w:r>
      <w:r w:rsidR="004F4857" w:rsidRPr="004F4857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a Volumetric Beach Response model</w:t>
      </w:r>
      <w:r w:rsidR="004F4857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described in Kinsela et al (2016).  </w:t>
      </w:r>
    </w:p>
    <w:p w14:paraId="0045AC6B" w14:textId="62CA144D" w:rsidR="00093263" w:rsidRDefault="00093263" w:rsidP="00093263">
      <w:pPr>
        <w:spacing w:after="0" w:line="240" w:lineRule="auto"/>
        <w:jc w:val="both"/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</w:pPr>
    </w:p>
    <w:p w14:paraId="286E2A75" w14:textId="0A20465D" w:rsidR="00907576" w:rsidRPr="00907576" w:rsidRDefault="004F4857" w:rsidP="00907576">
      <w:pPr>
        <w:spacing w:after="0" w:line="240" w:lineRule="auto"/>
        <w:jc w:val="both"/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</w:pPr>
      <w:r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The new probabilistic assessment </w:t>
      </w:r>
      <w:r w:rsidR="00907576" w:rsidRPr="00907576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has </w:t>
      </w:r>
      <w:r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now </w:t>
      </w:r>
      <w:r w:rsidR="00907576" w:rsidRPr="00907576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incorporated additional local-scale data, </w:t>
      </w:r>
      <w:r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regional to local-scale </w:t>
      </w:r>
      <w:r w:rsidR="00907576" w:rsidRPr="00907576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wave modelling, </w:t>
      </w:r>
      <w:r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long-term recession assessments </w:t>
      </w:r>
      <w:r w:rsidR="00907576" w:rsidRPr="00907576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and new erosion modelling.</w:t>
      </w:r>
      <w:r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 C</w:t>
      </w:r>
      <w:r w:rsidR="00907576" w:rsidRPr="00907576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oastal </w:t>
      </w:r>
      <w:r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recession and </w:t>
      </w:r>
      <w:r w:rsidR="00907576" w:rsidRPr="00907576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erosion </w:t>
      </w:r>
      <w:r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has been </w:t>
      </w:r>
      <w:r w:rsidR="00907576" w:rsidRPr="00907576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calculated based on a subset of processes identified within the </w:t>
      </w:r>
      <w:proofErr w:type="spellStart"/>
      <w:r w:rsidR="00907576" w:rsidRPr="00907576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Kinsela</w:t>
      </w:r>
      <w:proofErr w:type="spellEnd"/>
      <w:r w:rsidR="00907576" w:rsidRPr="00907576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volumetric model, each subject</w:t>
      </w:r>
      <w:r w:rsidR="00251519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ed</w:t>
      </w:r>
      <w:r w:rsidR="00907576" w:rsidRPr="00907576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to new </w:t>
      </w:r>
      <w:r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detailed </w:t>
      </w:r>
      <w:r w:rsidR="00907576" w:rsidRPr="00907576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analysis</w:t>
      </w:r>
      <w:r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under the </w:t>
      </w:r>
      <w:r w:rsidR="00907576" w:rsidRPr="00907576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framework:</w:t>
      </w:r>
    </w:p>
    <w:p w14:paraId="4DEEC8BE" w14:textId="6726CCA4" w:rsidR="00251519" w:rsidRPr="003409C0" w:rsidRDefault="00251519" w:rsidP="00907576">
      <w:pPr>
        <w:pStyle w:val="JBPParaText"/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8"/>
        <w:gridCol w:w="439"/>
      </w:tblGrid>
      <w:tr w:rsidR="00251519" w14:paraId="6D47EB75" w14:textId="77777777" w:rsidTr="00251519">
        <w:tc>
          <w:tcPr>
            <w:tcW w:w="3528" w:type="dxa"/>
          </w:tcPr>
          <w:p w14:paraId="19D98385" w14:textId="568590AF" w:rsidR="00251519" w:rsidRDefault="00E93099" w:rsidP="00907576">
            <w:pPr>
              <w:pStyle w:val="JBPParaText"/>
              <w:ind w:left="0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T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x</m:t>
                    </m:r>
                  </m:sub>
                </m:sSub>
                <m:r>
                  <w:rPr>
                    <w:rFonts w:ascii="Cambria Math" w:hAnsi="Cambria Math"/>
                  </w:rPr>
                  <m:t>N(1+k)+S+V</m:t>
                </m:r>
              </m:oMath>
            </m:oMathPara>
          </w:p>
        </w:tc>
        <w:tc>
          <w:tcPr>
            <w:tcW w:w="309" w:type="dxa"/>
          </w:tcPr>
          <w:p w14:paraId="48973E90" w14:textId="2E3A0936" w:rsidR="00251519" w:rsidRPr="002F0BD9" w:rsidRDefault="00251519" w:rsidP="002F0BD9">
            <w:pPr>
              <w:jc w:val="both"/>
              <w:rPr>
                <w:rFonts w:ascii="Microsoft Sans Serif" w:eastAsia="Microsoft Sans Serif" w:hAnsi="Microsoft Sans Serif" w:cs="Microsoft Sans Serif"/>
                <w:spacing w:val="1"/>
                <w:sz w:val="18"/>
                <w:szCs w:val="17"/>
              </w:rPr>
            </w:pPr>
            <w:r w:rsidRPr="002F0BD9">
              <w:rPr>
                <w:rFonts w:ascii="Microsoft Sans Serif" w:eastAsia="Microsoft Sans Serif" w:hAnsi="Microsoft Sans Serif" w:cs="Microsoft Sans Serif"/>
                <w:spacing w:val="1"/>
                <w:sz w:val="18"/>
                <w:szCs w:val="17"/>
              </w:rPr>
              <w:t>(1)</w:t>
            </w:r>
          </w:p>
        </w:tc>
      </w:tr>
    </w:tbl>
    <w:p w14:paraId="5E05FA1C" w14:textId="77777777" w:rsidR="00907576" w:rsidRDefault="00907576" w:rsidP="002F0BD9">
      <w:pPr>
        <w:spacing w:after="0" w:line="240" w:lineRule="auto"/>
        <w:jc w:val="both"/>
      </w:pPr>
      <w:r w:rsidRPr="002F0BD9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and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86"/>
        <w:gridCol w:w="461"/>
      </w:tblGrid>
      <w:tr w:rsidR="00251519" w14:paraId="5889F468" w14:textId="77777777" w:rsidTr="002F0BD9">
        <w:trPr>
          <w:trHeight w:val="399"/>
        </w:trPr>
        <w:tc>
          <w:tcPr>
            <w:tcW w:w="3386" w:type="dxa"/>
          </w:tcPr>
          <w:p w14:paraId="3C1A8DDF" w14:textId="6000567D" w:rsidR="00251519" w:rsidRDefault="00251519" w:rsidP="0021611B">
            <w:pPr>
              <w:pStyle w:val="JBPParaText"/>
              <w:ind w:left="0"/>
            </w:pPr>
            <m:oMathPara>
              <m:oMath>
                <m:r>
                  <w:rPr>
                    <w:rFonts w:ascii="Cambria Math" w:hAnsi="Cambria Math"/>
                  </w:rPr>
                  <m:t>k=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q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y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future</m:t>
                        </m:r>
                      </m:e>
                    </m:d>
                    <m:r>
                      <w:rPr>
                        <w:rFonts w:ascii="Cambria Math" w:hAnsi="Cambria Math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q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y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(present)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q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y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(present)</m:t>
                    </m:r>
                  </m:den>
                </m:f>
              </m:oMath>
            </m:oMathPara>
          </w:p>
        </w:tc>
        <w:tc>
          <w:tcPr>
            <w:tcW w:w="461" w:type="dxa"/>
          </w:tcPr>
          <w:p w14:paraId="61C187F7" w14:textId="00E9F6E9" w:rsidR="00251519" w:rsidRPr="002F0BD9" w:rsidRDefault="00251519" w:rsidP="002F0BD9">
            <w:pPr>
              <w:jc w:val="both"/>
              <w:rPr>
                <w:rFonts w:ascii="Microsoft Sans Serif" w:eastAsia="Microsoft Sans Serif" w:hAnsi="Microsoft Sans Serif" w:cs="Microsoft Sans Serif"/>
                <w:spacing w:val="1"/>
                <w:sz w:val="18"/>
                <w:szCs w:val="17"/>
              </w:rPr>
            </w:pPr>
            <w:r w:rsidRPr="002F0BD9">
              <w:rPr>
                <w:rFonts w:ascii="Microsoft Sans Serif" w:eastAsia="Microsoft Sans Serif" w:hAnsi="Microsoft Sans Serif" w:cs="Microsoft Sans Serif"/>
                <w:spacing w:val="1"/>
                <w:sz w:val="18"/>
                <w:szCs w:val="17"/>
              </w:rPr>
              <w:t>(2)</w:t>
            </w:r>
          </w:p>
        </w:tc>
      </w:tr>
    </w:tbl>
    <w:p w14:paraId="3BE7D824" w14:textId="18102360" w:rsidR="00907576" w:rsidRPr="002F0BD9" w:rsidRDefault="002F0BD9" w:rsidP="002F0BD9">
      <w:pPr>
        <w:spacing w:after="0" w:line="240" w:lineRule="auto"/>
        <w:jc w:val="both"/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</w:pPr>
      <w:r w:rsidRPr="002F0BD9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W</w:t>
      </w:r>
      <w:r w:rsidR="00907576" w:rsidRPr="002F0BD9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here:</w:t>
      </w:r>
    </w:p>
    <w:p w14:paraId="485BA47C" w14:textId="07C59262" w:rsidR="00907576" w:rsidRPr="002F0BD9" w:rsidRDefault="00907576" w:rsidP="002F0BD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</w:pPr>
      <w:r w:rsidRPr="002F0BD9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E</w:t>
      </w:r>
      <w:r w:rsidR="002F0BD9">
        <w:rPr>
          <w:rFonts w:ascii="Microsoft Sans Serif" w:eastAsia="Microsoft Sans Serif" w:hAnsi="Microsoft Sans Serif" w:cs="Microsoft Sans Serif"/>
          <w:spacing w:val="1"/>
          <w:sz w:val="18"/>
          <w:szCs w:val="17"/>
          <w:vertAlign w:val="subscript"/>
        </w:rPr>
        <w:t>T</w:t>
      </w:r>
      <w:r w:rsidRPr="002F0BD9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= the estimated erosion at a given planning horizon (m)</w:t>
      </w:r>
    </w:p>
    <w:p w14:paraId="7EC206DB" w14:textId="3A8D5A88" w:rsidR="00907576" w:rsidRPr="002F0BD9" w:rsidRDefault="002F0BD9" w:rsidP="002F0BD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</w:pPr>
      <w:proofErr w:type="spellStart"/>
      <w:r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q</w:t>
      </w:r>
      <w:r>
        <w:rPr>
          <w:rFonts w:ascii="Microsoft Sans Serif" w:eastAsia="Microsoft Sans Serif" w:hAnsi="Microsoft Sans Serif" w:cs="Microsoft Sans Serif"/>
          <w:spacing w:val="1"/>
          <w:sz w:val="18"/>
          <w:szCs w:val="17"/>
          <w:vertAlign w:val="subscript"/>
        </w:rPr>
        <w:t>x</w:t>
      </w:r>
      <w:proofErr w:type="spellEnd"/>
      <w:r w:rsidR="00907576" w:rsidRPr="002F0BD9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= historical shore-normal recession rate (m/</w:t>
      </w:r>
      <w:proofErr w:type="spellStart"/>
      <w:r w:rsidR="00907576" w:rsidRPr="002F0BD9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yr</w:t>
      </w:r>
      <w:proofErr w:type="spellEnd"/>
      <w:r w:rsidR="00907576" w:rsidRPr="002F0BD9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)</w:t>
      </w:r>
    </w:p>
    <w:p w14:paraId="748DE948" w14:textId="77777777" w:rsidR="00907576" w:rsidRPr="002F0BD9" w:rsidRDefault="00907576" w:rsidP="002F0BD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</w:pPr>
      <w:r w:rsidRPr="002F0BD9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N = number of years to planning horizon</w:t>
      </w:r>
    </w:p>
    <w:p w14:paraId="033B5463" w14:textId="40FFE482" w:rsidR="00907576" w:rsidRPr="002F0BD9" w:rsidRDefault="00907576" w:rsidP="002F0BD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</w:pPr>
      <w:r w:rsidRPr="002F0BD9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k = factor applied to </w:t>
      </w:r>
      <w:proofErr w:type="spellStart"/>
      <w:r w:rsidRPr="002F0BD9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q</w:t>
      </w:r>
      <w:r w:rsidR="002F0BD9">
        <w:rPr>
          <w:rFonts w:ascii="Microsoft Sans Serif" w:eastAsia="Microsoft Sans Serif" w:hAnsi="Microsoft Sans Serif" w:cs="Microsoft Sans Serif"/>
          <w:spacing w:val="1"/>
          <w:sz w:val="18"/>
          <w:szCs w:val="17"/>
          <w:vertAlign w:val="subscript"/>
        </w:rPr>
        <w:t>x</w:t>
      </w:r>
      <w:proofErr w:type="spellEnd"/>
      <w:r w:rsidRPr="002F0BD9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to account for changes in cross-shore recession deficit due to changes in alongshore sediment transport rates (</w:t>
      </w:r>
      <w:proofErr w:type="spellStart"/>
      <w:r w:rsidRPr="002F0BD9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q</w:t>
      </w:r>
      <w:r w:rsidR="002F0BD9">
        <w:rPr>
          <w:rFonts w:ascii="Microsoft Sans Serif" w:eastAsia="Microsoft Sans Serif" w:hAnsi="Microsoft Sans Serif" w:cs="Microsoft Sans Serif"/>
          <w:spacing w:val="1"/>
          <w:sz w:val="18"/>
          <w:szCs w:val="17"/>
          <w:vertAlign w:val="subscript"/>
        </w:rPr>
        <w:t>y</w:t>
      </w:r>
      <w:proofErr w:type="spellEnd"/>
      <w:r w:rsidRPr="002F0BD9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) caused by future changes in wave climate</w:t>
      </w:r>
    </w:p>
    <w:p w14:paraId="16211CBB" w14:textId="12BF95DF" w:rsidR="00907576" w:rsidRPr="002F0BD9" w:rsidRDefault="00907576" w:rsidP="002F0BD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</w:pPr>
      <w:proofErr w:type="spellStart"/>
      <w:r w:rsidRPr="002F0BD9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q</w:t>
      </w:r>
      <w:r w:rsidR="002F0BD9">
        <w:rPr>
          <w:rFonts w:ascii="Microsoft Sans Serif" w:eastAsia="Microsoft Sans Serif" w:hAnsi="Microsoft Sans Serif" w:cs="Microsoft Sans Serif"/>
          <w:spacing w:val="1"/>
          <w:sz w:val="18"/>
          <w:szCs w:val="17"/>
          <w:vertAlign w:val="subscript"/>
        </w:rPr>
        <w:t>y</w:t>
      </w:r>
      <w:proofErr w:type="spellEnd"/>
      <w:r w:rsidRPr="002F0BD9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= current alongshore sediment flux (m</w:t>
      </w:r>
      <w:r w:rsidR="002F0BD9">
        <w:rPr>
          <w:rFonts w:ascii="Microsoft Sans Serif" w:eastAsia="Microsoft Sans Serif" w:hAnsi="Microsoft Sans Serif" w:cs="Microsoft Sans Serif"/>
          <w:spacing w:val="1"/>
          <w:sz w:val="18"/>
          <w:szCs w:val="17"/>
          <w:vertAlign w:val="superscript"/>
        </w:rPr>
        <w:t>3</w:t>
      </w:r>
      <w:r w:rsidRPr="002F0BD9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/</w:t>
      </w:r>
      <w:proofErr w:type="spellStart"/>
      <w:r w:rsidRPr="002F0BD9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yr</w:t>
      </w:r>
      <w:proofErr w:type="spellEnd"/>
      <w:r w:rsidRPr="002F0BD9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)</w:t>
      </w:r>
    </w:p>
    <w:p w14:paraId="0F57DF59" w14:textId="77777777" w:rsidR="00907576" w:rsidRPr="002F0BD9" w:rsidRDefault="00907576" w:rsidP="002F0BD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</w:pPr>
      <w:r w:rsidRPr="002F0BD9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S = shoreline changes due to erosion from changes in sea level (m)</w:t>
      </w:r>
    </w:p>
    <w:p w14:paraId="1BB82879" w14:textId="4A9F1F40" w:rsidR="00907576" w:rsidRDefault="00907576" w:rsidP="00586FD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</w:pPr>
      <w:r w:rsidRPr="002F0BD9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V = event-based erosion due to storms (m)</w:t>
      </w:r>
    </w:p>
    <w:p w14:paraId="509BC0B6" w14:textId="77777777" w:rsidR="00586FD0" w:rsidRDefault="00586FD0" w:rsidP="002F0BD9">
      <w:pPr>
        <w:spacing w:after="0" w:line="240" w:lineRule="auto"/>
        <w:jc w:val="both"/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</w:pPr>
    </w:p>
    <w:p w14:paraId="02F55AAA" w14:textId="39AD8388" w:rsidR="00907576" w:rsidRPr="002F0BD9" w:rsidRDefault="00907576" w:rsidP="002F0BD9">
      <w:pPr>
        <w:spacing w:after="0" w:line="240" w:lineRule="auto"/>
        <w:jc w:val="both"/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</w:pPr>
      <w:r w:rsidRPr="002F0BD9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The four key terms (</w:t>
      </w:r>
      <w:proofErr w:type="spellStart"/>
      <w:r w:rsidR="00586FD0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q</w:t>
      </w:r>
      <w:r w:rsidR="00586FD0">
        <w:rPr>
          <w:rFonts w:ascii="Microsoft Sans Serif" w:eastAsia="Microsoft Sans Serif" w:hAnsi="Microsoft Sans Serif" w:cs="Microsoft Sans Serif"/>
          <w:spacing w:val="1"/>
          <w:sz w:val="18"/>
          <w:szCs w:val="17"/>
          <w:vertAlign w:val="subscript"/>
        </w:rPr>
        <w:t>x</w:t>
      </w:r>
      <w:proofErr w:type="spellEnd"/>
      <w:r w:rsidRPr="002F0BD9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= historical recession, k = changes in longshore sediment transport deficit, S = shoreline changes due to sea level rise, and V = event-based storm erosion) are described in the following sections.  </w:t>
      </w:r>
    </w:p>
    <w:p w14:paraId="3678D057" w14:textId="77777777" w:rsidR="004F4857" w:rsidRPr="002F0BD9" w:rsidRDefault="004F4857" w:rsidP="002F0BD9">
      <w:pPr>
        <w:spacing w:after="0" w:line="240" w:lineRule="auto"/>
        <w:jc w:val="both"/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</w:pPr>
    </w:p>
    <w:p w14:paraId="1260FFA7" w14:textId="362FE1EE" w:rsidR="004F4857" w:rsidRPr="004F4857" w:rsidRDefault="004F4857" w:rsidP="004F4857">
      <w:pPr>
        <w:spacing w:after="0" w:line="240" w:lineRule="auto"/>
        <w:jc w:val="both"/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</w:pPr>
      <w:r w:rsidRPr="004F4857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Historical recession (</w:t>
      </w:r>
      <w:proofErr w:type="spellStart"/>
      <w:r w:rsidR="00586FD0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q</w:t>
      </w:r>
      <w:r w:rsidR="00586FD0">
        <w:rPr>
          <w:rFonts w:ascii="Microsoft Sans Serif" w:eastAsia="Microsoft Sans Serif" w:hAnsi="Microsoft Sans Serif" w:cs="Microsoft Sans Serif"/>
          <w:spacing w:val="1"/>
          <w:sz w:val="18"/>
          <w:szCs w:val="17"/>
          <w:vertAlign w:val="subscript"/>
        </w:rPr>
        <w:t>x</w:t>
      </w:r>
      <w:proofErr w:type="spellEnd"/>
      <w:r w:rsidRPr="004F4857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) </w:t>
      </w:r>
      <w:r w:rsidR="005C329D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represents </w:t>
      </w:r>
      <w:r w:rsidR="005C329D" w:rsidRPr="005C329D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historic shore-normal recession rate</w:t>
      </w:r>
      <w:r w:rsidR="005C329D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s </w:t>
      </w:r>
      <w:r w:rsidR="005C329D" w:rsidRPr="005C329D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calculated using coastal profile data, remote sensing and image analysis</w:t>
      </w:r>
      <w:r w:rsidR="005C329D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.  The </w:t>
      </w:r>
      <w:r w:rsidR="005C329D" w:rsidRPr="005C329D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mean </w:t>
      </w:r>
      <w:r w:rsidR="005C329D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shoreline </w:t>
      </w:r>
      <w:r w:rsidR="005C329D" w:rsidRPr="005C329D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changes </w:t>
      </w:r>
      <w:r w:rsidR="005C329D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are calculated and assigned </w:t>
      </w:r>
      <w:r w:rsidR="005C329D" w:rsidRPr="005C329D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variability based on </w:t>
      </w:r>
      <w:r w:rsidR="005C329D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the </w:t>
      </w:r>
      <w:r w:rsidR="005C329D" w:rsidRPr="005C329D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standard deviation </w:t>
      </w:r>
      <w:r w:rsidR="005C329D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of annual shoreline positions, </w:t>
      </w:r>
      <w:r w:rsidR="005C329D" w:rsidRPr="005C329D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processed to identify the 5th/95th percentiles. </w:t>
      </w:r>
      <w:r w:rsidR="005C329D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</w:t>
      </w:r>
      <w:r w:rsidR="005C329D" w:rsidRPr="005C329D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These data attributes will be used to construct a distribution of potential recession rates</w:t>
      </w:r>
      <w:r w:rsidR="005C329D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.</w:t>
      </w:r>
    </w:p>
    <w:p w14:paraId="70553D16" w14:textId="77777777" w:rsidR="004F4857" w:rsidRPr="004F4857" w:rsidRDefault="004F4857" w:rsidP="004F4857">
      <w:pPr>
        <w:spacing w:after="0" w:line="240" w:lineRule="auto"/>
        <w:jc w:val="both"/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</w:pPr>
    </w:p>
    <w:p w14:paraId="5385E7DA" w14:textId="70A216B0" w:rsidR="005C329D" w:rsidRDefault="004F4857" w:rsidP="004F4857">
      <w:pPr>
        <w:spacing w:after="0" w:line="240" w:lineRule="auto"/>
        <w:jc w:val="both"/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</w:pPr>
      <w:r w:rsidRPr="004F4857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Changes in longshore sediment transport deficit (k) has been calculated</w:t>
      </w:r>
      <w:r w:rsidR="005C329D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using a Sediment Budget approach, supported through shoreline analysis and a regional </w:t>
      </w:r>
      <w:r w:rsidR="005C329D" w:rsidRPr="005C329D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Longshore</w:t>
      </w:r>
      <w:r w:rsidR="005C329D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Sediment Transport model.  Variability in sediment flux has been introduced based on h</w:t>
      </w:r>
      <w:r w:rsidR="005C329D" w:rsidRPr="005C329D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istoric decadal fluctuations in </w:t>
      </w:r>
      <w:r w:rsidR="005C329D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the </w:t>
      </w:r>
      <w:r w:rsidR="005C329D" w:rsidRPr="005C329D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LST rate linked to variations </w:t>
      </w:r>
      <w:r w:rsidR="005C329D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within the </w:t>
      </w:r>
      <w:r w:rsidR="005C329D" w:rsidRPr="005C329D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mean long-term recession</w:t>
      </w:r>
      <w:r w:rsidR="005C329D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.</w:t>
      </w:r>
    </w:p>
    <w:p w14:paraId="2B93A64A" w14:textId="77777777" w:rsidR="004F4857" w:rsidRPr="004F4857" w:rsidRDefault="004F4857" w:rsidP="004F4857">
      <w:pPr>
        <w:spacing w:after="0" w:line="240" w:lineRule="auto"/>
        <w:jc w:val="both"/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</w:pPr>
    </w:p>
    <w:p w14:paraId="6FCD90CA" w14:textId="4923CCA6" w:rsidR="004F4857" w:rsidRPr="004F4857" w:rsidRDefault="004F4857" w:rsidP="004F4857">
      <w:pPr>
        <w:spacing w:after="0" w:line="240" w:lineRule="auto"/>
        <w:jc w:val="both"/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</w:pPr>
      <w:r w:rsidRPr="004F4857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Shoreline changes due to sea level rise (S) has been calculated</w:t>
      </w:r>
      <w:r w:rsidR="005C329D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using a</w:t>
      </w:r>
      <w:r w:rsidR="005C329D" w:rsidRPr="005C329D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volumetric model fit </w:t>
      </w:r>
      <w:r w:rsidR="005C329D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to </w:t>
      </w:r>
      <w:r w:rsidR="005C329D" w:rsidRPr="005C329D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an </w:t>
      </w:r>
      <w:proofErr w:type="spellStart"/>
      <w:r w:rsidR="005C329D" w:rsidRPr="005C329D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idealised</w:t>
      </w:r>
      <w:proofErr w:type="spellEnd"/>
      <w:r w:rsidR="005C329D" w:rsidRPr="005C329D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shoreface profile </w:t>
      </w:r>
      <w:r w:rsidR="005C329D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(following </w:t>
      </w:r>
      <w:r w:rsidR="005C329D" w:rsidRPr="005C329D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h(y)=</w:t>
      </w:r>
      <w:proofErr w:type="spellStart"/>
      <w:r w:rsidR="005C329D" w:rsidRPr="005C329D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Ay</w:t>
      </w:r>
      <w:r w:rsidR="005C329D" w:rsidRPr="005C329D">
        <w:rPr>
          <w:rFonts w:ascii="Microsoft Sans Serif" w:eastAsia="Microsoft Sans Serif" w:hAnsi="Microsoft Sans Serif" w:cs="Microsoft Sans Serif"/>
          <w:spacing w:val="1"/>
          <w:sz w:val="18"/>
          <w:szCs w:val="17"/>
          <w:vertAlign w:val="superscript"/>
        </w:rPr>
        <w:t>m</w:t>
      </w:r>
      <w:proofErr w:type="spellEnd"/>
      <w:r w:rsidR="005C329D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)</w:t>
      </w:r>
      <w:r w:rsidR="005C329D" w:rsidRPr="005C329D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</w:t>
      </w:r>
      <w:r w:rsidR="005C329D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for </w:t>
      </w:r>
      <w:r w:rsidR="005C329D" w:rsidRPr="005C329D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each beach</w:t>
      </w:r>
      <w:r w:rsidR="005C329D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.  </w:t>
      </w:r>
      <w:r w:rsidR="005C329D" w:rsidRPr="005C329D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The model raise</w:t>
      </w:r>
      <w:r w:rsidR="005C329D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s</w:t>
      </w:r>
      <w:r w:rsidR="005C329D" w:rsidRPr="005C329D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the </w:t>
      </w:r>
      <w:r w:rsidR="005C329D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beach </w:t>
      </w:r>
      <w:r w:rsidR="005C329D" w:rsidRPr="005C329D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profile in accordance with sea level rise estimates and translate</w:t>
      </w:r>
      <w:r w:rsidR="005C329D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s</w:t>
      </w:r>
      <w:r w:rsidR="005C329D" w:rsidRPr="005C329D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the shoreface geometry landward to balance the required volumetric change out to the depth of closure.</w:t>
      </w:r>
      <w:r w:rsidR="005C329D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 Variability has been introduced based on the potential changes to the depth of closure and s</w:t>
      </w:r>
      <w:r w:rsidR="005C329D" w:rsidRPr="005C329D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ea level rise estimates </w:t>
      </w:r>
      <w:r w:rsidR="005C329D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within </w:t>
      </w:r>
      <w:r w:rsidR="005C329D" w:rsidRPr="005C329D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5th, 50th and 95th percentile estimates from IPCC AR6 projections</w:t>
      </w:r>
      <w:r w:rsidR="005C329D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.</w:t>
      </w:r>
    </w:p>
    <w:p w14:paraId="1041500D" w14:textId="77777777" w:rsidR="004F4857" w:rsidRPr="004F4857" w:rsidRDefault="004F4857" w:rsidP="004F4857">
      <w:pPr>
        <w:spacing w:after="0" w:line="240" w:lineRule="auto"/>
        <w:jc w:val="both"/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</w:pPr>
    </w:p>
    <w:p w14:paraId="15B296CD" w14:textId="6B06906B" w:rsidR="004F4857" w:rsidRPr="004F4857" w:rsidRDefault="004F4857" w:rsidP="004F4857">
      <w:pPr>
        <w:spacing w:after="0" w:line="240" w:lineRule="auto"/>
        <w:jc w:val="both"/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</w:pPr>
      <w:r w:rsidRPr="004F4857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Event-based storm erosion (V) has been calculated</w:t>
      </w:r>
      <w:r w:rsidR="00EE3172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using the volumetric model solving the </w:t>
      </w:r>
      <w:r w:rsidR="00EE3172" w:rsidRPr="00EE3172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Vellinga formula (1982)</w:t>
      </w:r>
      <w:r w:rsidR="00EE3172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.  This model uses a </w:t>
      </w:r>
      <w:r w:rsidR="00453A23" w:rsidRPr="00EE3172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10,000-year </w:t>
      </w:r>
      <w:r w:rsidR="00453A23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simulated </w:t>
      </w:r>
      <w:r w:rsidR="00EE3172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dataset of </w:t>
      </w:r>
      <w:r w:rsidR="00EE3172" w:rsidRPr="00EE3172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nearshore wave conditions </w:t>
      </w:r>
      <w:r w:rsidR="00EE3172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for each beach, estimated using a </w:t>
      </w:r>
      <w:r w:rsidR="00E93099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combined numerical modelling and machine learning approach</w:t>
      </w:r>
      <w:r w:rsidR="00EE3172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.  Variability has been introduced based on future </w:t>
      </w:r>
      <w:r w:rsidR="00EE3172" w:rsidRPr="00EE3172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wave projections </w:t>
      </w:r>
      <w:r w:rsidR="00EE3172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within </w:t>
      </w:r>
      <w:r w:rsidR="00EE3172" w:rsidRPr="00EE3172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Collaboration for Australian Weather and Climate Research (CAWCR</w:t>
      </w:r>
      <w:r w:rsidR="00EE3172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)</w:t>
      </w:r>
      <w:r w:rsidR="00EE3172" w:rsidRPr="00EE3172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datasets.</w:t>
      </w:r>
      <w:r w:rsidR="00EE3172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 This includes </w:t>
      </w:r>
      <w:r w:rsidR="00EE3172" w:rsidRPr="00EE3172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ensemble mean</w:t>
      </w:r>
      <w:r w:rsidR="00EE3172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</w:t>
      </w:r>
      <w:r w:rsidR="00EE3172" w:rsidRPr="00EE3172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variability for wave height, </w:t>
      </w:r>
      <w:r w:rsidR="00E93099" w:rsidRPr="00EE3172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period,</w:t>
      </w:r>
      <w:r w:rsidR="00EE3172" w:rsidRPr="00EE3172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and direction.  </w:t>
      </w:r>
    </w:p>
    <w:p w14:paraId="51710242" w14:textId="2F11F849" w:rsidR="004F4857" w:rsidRDefault="004F4857" w:rsidP="00EE3172">
      <w:pPr>
        <w:pStyle w:val="JBPParaText"/>
        <w:ind w:left="0"/>
      </w:pPr>
    </w:p>
    <w:p w14:paraId="361FF687" w14:textId="667C848F" w:rsidR="004F4857" w:rsidRPr="00453A23" w:rsidRDefault="004F4857" w:rsidP="00453A23">
      <w:pPr>
        <w:spacing w:after="0" w:line="240" w:lineRule="auto"/>
        <w:jc w:val="both"/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</w:pPr>
      <w:proofErr w:type="spellStart"/>
      <w:r w:rsidRPr="00453A23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Kinsela</w:t>
      </w:r>
      <w:proofErr w:type="spellEnd"/>
      <w:r w:rsidRPr="00453A23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, </w:t>
      </w:r>
      <w:r w:rsidR="00453A23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et al.</w:t>
      </w:r>
      <w:r w:rsidRPr="00453A23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</w:t>
      </w:r>
      <w:r w:rsidR="00453A23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(</w:t>
      </w:r>
      <w:r w:rsidRPr="00453A23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2016</w:t>
      </w:r>
      <w:r w:rsidR="00453A23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):</w:t>
      </w:r>
      <w:r w:rsidRPr="00453A23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A </w:t>
      </w:r>
      <w:r w:rsidR="00E44A90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f</w:t>
      </w:r>
      <w:r w:rsidRPr="00453A23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lexible </w:t>
      </w:r>
      <w:r w:rsidR="00E44A90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a</w:t>
      </w:r>
      <w:r w:rsidRPr="00453A23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pproach to </w:t>
      </w:r>
      <w:r w:rsidR="00E44A90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f</w:t>
      </w:r>
      <w:r w:rsidRPr="00453A23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orecasting  </w:t>
      </w:r>
      <w:r w:rsidR="00E44A90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c</w:t>
      </w:r>
      <w:r w:rsidRPr="00453A23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oastline </w:t>
      </w:r>
      <w:r w:rsidR="00E44A90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c</w:t>
      </w:r>
      <w:r w:rsidRPr="00453A23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hange on </w:t>
      </w:r>
      <w:r w:rsidR="00E44A90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w</w:t>
      </w:r>
      <w:r w:rsidRPr="00453A23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ave-</w:t>
      </w:r>
      <w:r w:rsidR="00E44A90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d</w:t>
      </w:r>
      <w:r w:rsidRPr="00453A23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ominated </w:t>
      </w:r>
      <w:r w:rsidR="00E44A90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b</w:t>
      </w:r>
      <w:r w:rsidRPr="00453A23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eaches. Journal of Coastal Research, Special Issue, No. 75, pp. 952-956.</w:t>
      </w:r>
    </w:p>
    <w:p w14:paraId="7422DAA9" w14:textId="782B6CB8" w:rsidR="00EE3172" w:rsidRPr="00453A23" w:rsidRDefault="00EE3172" w:rsidP="00453A23">
      <w:pPr>
        <w:spacing w:after="0" w:line="240" w:lineRule="auto"/>
        <w:jc w:val="both"/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</w:pPr>
    </w:p>
    <w:p w14:paraId="30C9DDF8" w14:textId="2F2412AF" w:rsidR="00FA1E68" w:rsidRPr="00A2442E" w:rsidRDefault="00EE3172" w:rsidP="00586FD0">
      <w:pPr>
        <w:spacing w:after="0" w:line="240" w:lineRule="auto"/>
        <w:jc w:val="both"/>
        <w:rPr>
          <w:szCs w:val="20"/>
        </w:rPr>
      </w:pPr>
      <w:r w:rsidRPr="00453A23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Vellinga (1982)</w:t>
      </w:r>
      <w:r w:rsidR="00E44A90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:</w:t>
      </w:r>
      <w:r w:rsidRPr="00453A23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Beach and dune erosion during storm surges</w:t>
      </w:r>
      <w:r w:rsidR="00E44A90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. Coastal Engineering, ELSEVIER, vol 6, issue 4, pp. 361-387</w:t>
      </w:r>
    </w:p>
    <w:sectPr w:rsidR="00FA1E68" w:rsidRPr="00A2442E" w:rsidSect="00400773">
      <w:type w:val="continuous"/>
      <w:pgSz w:w="12240" w:h="15840" w:code="1"/>
      <w:pgMar w:top="1440" w:right="1021" w:bottom="1440" w:left="1021" w:header="709" w:footer="709" w:gutter="0"/>
      <w:cols w:num="2" w:space="708" w:equalWidth="0">
        <w:col w:w="4567" w:space="687"/>
        <w:col w:w="4604"/>
      </w:cols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2CAEEC" w14:textId="77777777" w:rsidR="008C3987" w:rsidRDefault="008C3987" w:rsidP="0013413D">
      <w:pPr>
        <w:spacing w:after="0" w:line="240" w:lineRule="auto"/>
      </w:pPr>
      <w:r>
        <w:separator/>
      </w:r>
    </w:p>
  </w:endnote>
  <w:endnote w:type="continuationSeparator" w:id="0">
    <w:p w14:paraId="537887CD" w14:textId="77777777" w:rsidR="008C3987" w:rsidRDefault="008C3987" w:rsidP="001341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0101C" w14:textId="77777777" w:rsidR="008C3987" w:rsidRDefault="008C3987" w:rsidP="0013413D">
      <w:pPr>
        <w:spacing w:after="0" w:line="240" w:lineRule="auto"/>
      </w:pPr>
      <w:r>
        <w:separator/>
      </w:r>
    </w:p>
  </w:footnote>
  <w:footnote w:type="continuationSeparator" w:id="0">
    <w:p w14:paraId="0F34F8AC" w14:textId="77777777" w:rsidR="008C3987" w:rsidRDefault="008C3987" w:rsidP="001341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821B22"/>
    <w:multiLevelType w:val="multilevel"/>
    <w:tmpl w:val="EFC26382"/>
    <w:lvl w:ilvl="0">
      <w:start w:val="1"/>
      <w:numFmt w:val="bullet"/>
      <w:pStyle w:val="JBPBullets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9950499"/>
    <w:multiLevelType w:val="hybridMultilevel"/>
    <w:tmpl w:val="291A36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4C5D7C"/>
    <w:multiLevelType w:val="hybridMultilevel"/>
    <w:tmpl w:val="7B04DC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E68"/>
    <w:rsid w:val="0002776C"/>
    <w:rsid w:val="00062759"/>
    <w:rsid w:val="00093263"/>
    <w:rsid w:val="0013413D"/>
    <w:rsid w:val="0016001C"/>
    <w:rsid w:val="0016770F"/>
    <w:rsid w:val="00251519"/>
    <w:rsid w:val="002F0BD9"/>
    <w:rsid w:val="0038096F"/>
    <w:rsid w:val="003D75E7"/>
    <w:rsid w:val="00400773"/>
    <w:rsid w:val="00453A23"/>
    <w:rsid w:val="00482FEA"/>
    <w:rsid w:val="004D6436"/>
    <w:rsid w:val="004F4857"/>
    <w:rsid w:val="00586FD0"/>
    <w:rsid w:val="005C329D"/>
    <w:rsid w:val="005F4070"/>
    <w:rsid w:val="0072430C"/>
    <w:rsid w:val="008B6510"/>
    <w:rsid w:val="008C3987"/>
    <w:rsid w:val="00907576"/>
    <w:rsid w:val="009307AB"/>
    <w:rsid w:val="00930FE2"/>
    <w:rsid w:val="0094139B"/>
    <w:rsid w:val="00977636"/>
    <w:rsid w:val="00996A43"/>
    <w:rsid w:val="009C21C4"/>
    <w:rsid w:val="00A2442E"/>
    <w:rsid w:val="00B660F2"/>
    <w:rsid w:val="00B807EE"/>
    <w:rsid w:val="00C80A6D"/>
    <w:rsid w:val="00CD47BB"/>
    <w:rsid w:val="00E44A90"/>
    <w:rsid w:val="00E93099"/>
    <w:rsid w:val="00EE3172"/>
    <w:rsid w:val="00FA1E68"/>
    <w:rsid w:val="00FF5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5A71CF"/>
  <w15:docId w15:val="{3225928C-9F03-4E32-B40C-E74FD8AA2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B651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76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763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341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413D"/>
  </w:style>
  <w:style w:type="paragraph" w:styleId="Footer">
    <w:name w:val="footer"/>
    <w:basedOn w:val="Normal"/>
    <w:link w:val="FooterChar"/>
    <w:uiPriority w:val="99"/>
    <w:unhideWhenUsed/>
    <w:rsid w:val="001341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413D"/>
  </w:style>
  <w:style w:type="paragraph" w:styleId="ListParagraph">
    <w:name w:val="List Paragraph"/>
    <w:basedOn w:val="Normal"/>
    <w:uiPriority w:val="34"/>
    <w:qFormat/>
    <w:rsid w:val="0002776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D47BB"/>
    <w:rPr>
      <w:color w:val="605E5C"/>
      <w:shd w:val="clear" w:color="auto" w:fill="E1DFDD"/>
    </w:rPr>
  </w:style>
  <w:style w:type="paragraph" w:customStyle="1" w:styleId="JBPParaText">
    <w:name w:val="JBP Para Text"/>
    <w:basedOn w:val="Normal"/>
    <w:qFormat/>
    <w:rsid w:val="00907576"/>
    <w:pPr>
      <w:widowControl/>
      <w:spacing w:after="120" w:line="240" w:lineRule="auto"/>
      <w:ind w:left="720"/>
      <w:jc w:val="both"/>
    </w:pPr>
    <w:rPr>
      <w:rFonts w:ascii="Arial" w:eastAsia="Calibri" w:hAnsi="Arial" w:cs="Times New Roman"/>
      <w:sz w:val="20"/>
      <w:szCs w:val="20"/>
      <w:lang w:val="en-GB" w:eastAsia="en-GB"/>
    </w:rPr>
  </w:style>
  <w:style w:type="paragraph" w:customStyle="1" w:styleId="JBPBullets">
    <w:name w:val="JBP Bullets"/>
    <w:basedOn w:val="Normal"/>
    <w:qFormat/>
    <w:rsid w:val="00907576"/>
    <w:pPr>
      <w:widowControl/>
      <w:numPr>
        <w:numId w:val="2"/>
      </w:numPr>
      <w:spacing w:after="60" w:line="240" w:lineRule="auto"/>
      <w:ind w:left="1434" w:hanging="357"/>
      <w:jc w:val="both"/>
    </w:pPr>
    <w:rPr>
      <w:rFonts w:ascii="Arial" w:eastAsia="Calibri" w:hAnsi="Arial" w:cs="Times New Roman"/>
      <w:sz w:val="20"/>
      <w:szCs w:val="20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F48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48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48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48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4857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2515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ael.thomson@jbpacific.com.a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Doug.Pender@jbaconsulting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aniel.rodger@jbpacific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C0262B-2F1E-455E-84BD-CCBA13657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744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ICCE2014_Abstract in Depth</vt:lpstr>
    </vt:vector>
  </TitlesOfParts>
  <Company/>
  <LinksUpToDate>false</LinksUpToDate>
  <CharactersWithSpaces>4976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ICCE2014_Abstract in Depth</dc:title>
  <dc:subject>Microsoft Word - ICCE2014_Abstract in Depth</dc:subject>
  <dc:creator>Berk Yumer</dc:creator>
  <cp:lastModifiedBy>Michael Thomson</cp:lastModifiedBy>
  <cp:revision>7</cp:revision>
  <dcterms:created xsi:type="dcterms:W3CDTF">2022-05-05T03:06:00Z</dcterms:created>
  <dcterms:modified xsi:type="dcterms:W3CDTF">2022-05-08T22:44:00Z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2014-02-04T00:00:00Z</vt:filetime>
  </property>
  <property fmtid="{D5CDD505-2E9C-101B-9397-08002B2CF9AE}" pid="3" name="LastSaved">
    <vt:filetime>2016-01-11T00:00:00Z</vt:filetime>
  </property>
</Properties>
</file>