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2F66" w14:textId="735894CB" w:rsidR="007A55E8" w:rsidRPr="0013413D" w:rsidRDefault="007A55E8" w:rsidP="00B807EE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24"/>
          <w:szCs w:val="23"/>
        </w:rPr>
      </w:pPr>
      <w:r w:rsidRPr="007A55E8">
        <w:rPr>
          <w:rFonts w:ascii="Microsoft Sans Serif" w:eastAsia="Microsoft Sans Serif" w:hAnsi="Microsoft Sans Serif" w:cs="Microsoft Sans Serif"/>
          <w:b/>
          <w:sz w:val="24"/>
          <w:szCs w:val="23"/>
        </w:rPr>
        <w:t xml:space="preserve">Environmental contour </w:t>
      </w:r>
      <w:r w:rsidR="00EA3F88">
        <w:rPr>
          <w:rFonts w:ascii="Microsoft Sans Serif" w:eastAsia="Microsoft Sans Serif" w:hAnsi="Microsoft Sans Serif" w:cs="Microsoft Sans Serif"/>
          <w:b/>
          <w:sz w:val="24"/>
          <w:szCs w:val="23"/>
        </w:rPr>
        <w:t>establishment</w:t>
      </w:r>
      <w:r w:rsidRPr="007A55E8">
        <w:rPr>
          <w:rFonts w:ascii="Microsoft Sans Serif" w:eastAsia="Microsoft Sans Serif" w:hAnsi="Microsoft Sans Serif" w:cs="Microsoft Sans Serif"/>
          <w:b/>
          <w:sz w:val="24"/>
          <w:szCs w:val="23"/>
        </w:rPr>
        <w:t xml:space="preserve"> based on openly available EMODnet </w:t>
      </w:r>
      <w:r w:rsidR="00A45505">
        <w:rPr>
          <w:rFonts w:ascii="Microsoft Sans Serif" w:eastAsia="Microsoft Sans Serif" w:hAnsi="Microsoft Sans Serif" w:cs="Microsoft Sans Serif"/>
          <w:b/>
          <w:sz w:val="24"/>
          <w:szCs w:val="23"/>
        </w:rPr>
        <w:t>wave and wind data</w:t>
      </w:r>
      <w:r w:rsidR="003B40DF">
        <w:rPr>
          <w:rFonts w:ascii="Microsoft Sans Serif" w:eastAsia="Microsoft Sans Serif" w:hAnsi="Microsoft Sans Serif" w:cs="Microsoft Sans Serif"/>
          <w:b/>
          <w:sz w:val="24"/>
          <w:szCs w:val="23"/>
        </w:rPr>
        <w:t xml:space="preserve"> </w:t>
      </w:r>
      <w:r w:rsidR="00380E38">
        <w:rPr>
          <w:rFonts w:ascii="Microsoft Sans Serif" w:eastAsia="Microsoft Sans Serif" w:hAnsi="Microsoft Sans Serif" w:cs="Microsoft Sans Serif"/>
          <w:b/>
          <w:sz w:val="24"/>
          <w:szCs w:val="23"/>
        </w:rPr>
        <w:t>following Heffernan and Tawn methodologies.</w:t>
      </w:r>
    </w:p>
    <w:p w14:paraId="53BB3B97" w14:textId="77777777" w:rsidR="00FA1E68" w:rsidRDefault="00FA1E68">
      <w:pPr>
        <w:spacing w:before="5" w:after="0" w:line="110" w:lineRule="exact"/>
        <w:rPr>
          <w:sz w:val="11"/>
          <w:szCs w:val="11"/>
        </w:rPr>
      </w:pPr>
    </w:p>
    <w:p w14:paraId="3A1B934D" w14:textId="55B82CC8" w:rsidR="00FA1E68" w:rsidRPr="00977636" w:rsidRDefault="007A55E8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u w:val="single"/>
        </w:rPr>
        <w:t>Joachim S. Bach</w:t>
      </w:r>
      <w:r w:rsidR="008B6510"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="008B6510" w:rsidRPr="00977636"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>Fore</w:t>
      </w:r>
      <w:r w:rsidR="0013536E"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>s</w:t>
      </w:r>
      <w:r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>eas ApS.</w:t>
      </w:r>
      <w:r w:rsidR="008B6510"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="008B6510" w:rsidRPr="00977636">
        <w:rPr>
          <w:rFonts w:ascii="Microsoft Sans Serif" w:eastAsia="Microsoft Sans Serif" w:hAnsi="Microsoft Sans Serif" w:cs="Microsoft Sans Serif"/>
          <w:spacing w:val="22"/>
          <w:sz w:val="18"/>
          <w:szCs w:val="17"/>
        </w:rPr>
        <w:t xml:space="preserve"> </w:t>
      </w:r>
      <w:r w:rsidR="00B60646" w:rsidRPr="00B60646">
        <w:rPr>
          <w:rStyle w:val="Hyperlink"/>
          <w:spacing w:val="-1"/>
          <w:w w:val="102"/>
        </w:rPr>
        <w:t>Joachim.bach@fore-seas.com</w:t>
      </w:r>
    </w:p>
    <w:p w14:paraId="37FEB538" w14:textId="77777777" w:rsidR="00FA1E68" w:rsidRDefault="00FA1E68">
      <w:pPr>
        <w:spacing w:before="11" w:after="0" w:line="260" w:lineRule="exact"/>
        <w:rPr>
          <w:sz w:val="26"/>
          <w:szCs w:val="26"/>
        </w:rPr>
      </w:pPr>
    </w:p>
    <w:p w14:paraId="417B08C6" w14:textId="77777777" w:rsidR="00FA1E68" w:rsidRDefault="00FA1E68">
      <w:pPr>
        <w:spacing w:after="0"/>
        <w:sectPr w:rsidR="00FA1E68" w:rsidSect="00400773">
          <w:type w:val="continuous"/>
          <w:pgSz w:w="12240" w:h="15840" w:code="1"/>
          <w:pgMar w:top="1440" w:right="1021" w:bottom="1440" w:left="1021" w:header="709" w:footer="709" w:gutter="0"/>
          <w:cols w:space="708"/>
          <w:docGrid w:linePitch="299"/>
        </w:sectPr>
      </w:pPr>
    </w:p>
    <w:p w14:paraId="280C6F32" w14:textId="222E145C" w:rsidR="00FA1E68" w:rsidRPr="00354612" w:rsidRDefault="007601F1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b/>
          <w:bCs/>
          <w:spacing w:val="1"/>
          <w:w w:val="102"/>
          <w:sz w:val="20"/>
          <w:szCs w:val="18"/>
        </w:rPr>
      </w:pPr>
      <w:r w:rsidRPr="00354612">
        <w:rPr>
          <w:rFonts w:ascii="Microsoft Sans Serif" w:eastAsia="Microsoft Sans Serif" w:hAnsi="Microsoft Sans Serif" w:cs="Microsoft Sans Serif"/>
          <w:b/>
          <w:bCs/>
          <w:spacing w:val="1"/>
          <w:w w:val="102"/>
          <w:sz w:val="20"/>
          <w:szCs w:val="18"/>
        </w:rPr>
        <w:t>Introduction</w:t>
      </w:r>
    </w:p>
    <w:p w14:paraId="5065DFBC" w14:textId="57D7A431" w:rsidR="006D50ED" w:rsidRDefault="00A536AB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In this paper, I present methodologies and routines for inference of envi</w:t>
      </w:r>
      <w:r w:rsidR="00F05D6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ronmental contours</w:t>
      </w:r>
      <w:r w:rsidR="0045193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8960D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based </w:t>
      </w:r>
      <w:r w:rsidR="000573E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on openly available </w:t>
      </w:r>
      <w:r w:rsidR="008960D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data from the European EMODnet service</w:t>
      </w:r>
      <w:r w:rsidR="00C70FF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specifically wind and wave timeseries from oil platform 6200146</w:t>
      </w:r>
      <w:r w:rsidR="008960D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 w:rsidR="00C70FF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</w:t>
      </w:r>
      <w:r w:rsidR="00B8022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theoretical </w:t>
      </w:r>
      <w:r w:rsidR="00674A0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basis</w:t>
      </w:r>
      <w:r w:rsidR="00B8022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380E3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is outlined </w:t>
      </w:r>
      <w:r w:rsidR="00F56C1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in</w:t>
      </w:r>
      <w:r w:rsidR="007601F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sdt>
        <w:sdtPr>
          <w:rPr>
            <w:rFonts w:ascii="Microsoft Sans Serif" w:eastAsia="Microsoft Sans Serif" w:hAnsi="Microsoft Sans Serif" w:cs="Microsoft Sans Serif"/>
            <w:spacing w:val="1"/>
            <w:sz w:val="18"/>
            <w:szCs w:val="17"/>
          </w:rPr>
          <w:id w:val="2067992853"/>
          <w:citation/>
        </w:sdtPr>
        <w:sdtEndPr/>
        <w:sdtContent>
          <w:r w:rsidR="007601F1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fldChar w:fldCharType="begin"/>
          </w:r>
          <w:r w:rsidR="007601F1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instrText xml:space="preserve"> CITATION Han20 \l 1033 </w:instrText>
          </w:r>
          <w:r w:rsidR="007601F1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fldChar w:fldCharType="separate"/>
          </w:r>
          <w:r w:rsidR="00EA3F88" w:rsidRPr="00EA3F88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t>(Hans Fabricius Hansen, 2020)</w:t>
          </w:r>
          <w:r w:rsidR="007601F1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fldChar w:fldCharType="end"/>
          </w:r>
        </w:sdtContent>
      </w:sdt>
      <w:r w:rsidR="00674A0E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and </w:t>
      </w:r>
      <w:sdt>
        <w:sdtPr>
          <w:rPr>
            <w:rFonts w:ascii="Microsoft Sans Serif" w:eastAsia="Microsoft Sans Serif" w:hAnsi="Microsoft Sans Serif" w:cs="Microsoft Sans Serif"/>
            <w:spacing w:val="1"/>
            <w:sz w:val="18"/>
            <w:szCs w:val="17"/>
          </w:rPr>
          <w:id w:val="-827054180"/>
          <w:citation/>
        </w:sdtPr>
        <w:sdtEndPr/>
        <w:sdtContent>
          <w:r w:rsidR="00674A0E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fldChar w:fldCharType="begin"/>
          </w:r>
          <w:r w:rsidR="00674A0E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instrText xml:space="preserve"> CITATION Jan04 \l 1033 </w:instrText>
          </w:r>
          <w:r w:rsidR="00674A0E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fldChar w:fldCharType="separate"/>
          </w:r>
          <w:r w:rsidR="00EA3F88" w:rsidRPr="00EA3F88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t>(Janet E. heffernan, 2004)</w:t>
          </w:r>
          <w:r w:rsidR="00674A0E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fldChar w:fldCharType="end"/>
          </w:r>
        </w:sdtContent>
      </w:sdt>
      <w:r w:rsidR="00F56C1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forming the basis for this paper.</w:t>
      </w:r>
    </w:p>
    <w:p w14:paraId="44D008A8" w14:textId="77777777" w:rsidR="006D50ED" w:rsidRDefault="006D50ED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0D181AAA" w14:textId="23A1391C" w:rsidR="00F831EC" w:rsidRDefault="00F56C17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conditional marginal distribution models</w:t>
      </w:r>
      <w:r w:rsidR="00F831E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known as</w:t>
      </w:r>
      <w:r w:rsidR="008B38C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9448A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environmental contours</w:t>
      </w:r>
      <w:r w:rsidR="00F831E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is</w:t>
      </w:r>
      <w:r w:rsidR="00FF365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established based on</w:t>
      </w:r>
      <w:r w:rsidR="00DA053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measured wind and wave heights</w:t>
      </w:r>
      <w:r w:rsidR="00DF471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DA053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at platform </w:t>
      </w:r>
      <w:r w:rsidR="002A0DF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6200146 located </w:t>
      </w:r>
      <w:r w:rsidR="009448A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 the </w:t>
      </w:r>
      <w:r w:rsidR="00DF471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North Sea</w:t>
      </w:r>
      <w:r w:rsidR="007E1AD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 w:rsidR="00F831E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data is provided through the openly available data</w:t>
      </w:r>
      <w:r w:rsidR="00380E3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platform</w:t>
      </w:r>
      <w:r w:rsidR="00F831E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EMODnet.</w:t>
      </w:r>
    </w:p>
    <w:p w14:paraId="1ED42F09" w14:textId="77777777" w:rsidR="00F831EC" w:rsidRDefault="00F831EC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4300E822" w14:textId="22DF7AE8" w:rsidR="0045193A" w:rsidRPr="0045193A" w:rsidRDefault="00DF4718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environmental contour</w:t>
      </w:r>
      <w:r w:rsidR="00B43A1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model</w:t>
      </w:r>
      <w:r w:rsidR="007E1AD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is established </w:t>
      </w:r>
      <w:r w:rsidR="0092478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by fitting</w:t>
      </w:r>
      <w:r w:rsidR="00FA319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380E3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univariate </w:t>
      </w:r>
      <w:r w:rsidR="00FA319F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distributions</w:t>
      </w:r>
      <w:r w:rsidR="00AC1A0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to each data-series</w:t>
      </w:r>
      <w:r w:rsidR="00B43A1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independently, whereafter a</w:t>
      </w:r>
      <w:r w:rsidR="00F30BC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</w:t>
      </w:r>
      <w:r w:rsidR="00AC1A0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2C65C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extremal dependence structure</w:t>
      </w:r>
      <w:r w:rsidR="00F30BC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is</w:t>
      </w:r>
      <w:r w:rsidR="00380E3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established</w:t>
      </w:r>
      <w:r w:rsidR="00F13E9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following methodologies outlined in </w:t>
      </w:r>
      <w:sdt>
        <w:sdtPr>
          <w:rPr>
            <w:rFonts w:ascii="Microsoft Sans Serif" w:eastAsia="Microsoft Sans Serif" w:hAnsi="Microsoft Sans Serif" w:cs="Microsoft Sans Serif"/>
            <w:spacing w:val="1"/>
            <w:sz w:val="18"/>
            <w:szCs w:val="17"/>
          </w:rPr>
          <w:id w:val="1326165319"/>
          <w:citation/>
        </w:sdtPr>
        <w:sdtEndPr/>
        <w:sdtContent>
          <w:r w:rsidR="00F13E9A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fldChar w:fldCharType="begin"/>
          </w:r>
          <w:r w:rsidR="00F13E9A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instrText xml:space="preserve"> CITATION Jan04 \l 1033 </w:instrText>
          </w:r>
          <w:r w:rsidR="00F13E9A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fldChar w:fldCharType="separate"/>
          </w:r>
          <w:r w:rsidR="00EA3F88" w:rsidRPr="00EA3F88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t>(Janet E. heffernan, 2004)</w:t>
          </w:r>
          <w:r w:rsidR="00F13E9A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fldChar w:fldCharType="end"/>
          </w:r>
        </w:sdtContent>
      </w:sdt>
      <w:r w:rsidR="00F13E9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</w:p>
    <w:p w14:paraId="14026012" w14:textId="77777777" w:rsidR="00FA1E68" w:rsidRPr="00B807EE" w:rsidRDefault="00FA1E68" w:rsidP="00A2442E">
      <w:pPr>
        <w:spacing w:after="0" w:line="240" w:lineRule="auto"/>
        <w:rPr>
          <w:sz w:val="20"/>
          <w:szCs w:val="19"/>
        </w:rPr>
      </w:pPr>
    </w:p>
    <w:p w14:paraId="3A2C5B85" w14:textId="0F457FFF" w:rsidR="00FA1E68" w:rsidRPr="00354612" w:rsidRDefault="00354612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b/>
          <w:bCs/>
          <w:sz w:val="20"/>
          <w:szCs w:val="18"/>
        </w:rPr>
      </w:pPr>
      <w:r w:rsidRPr="00354612">
        <w:rPr>
          <w:rFonts w:ascii="Microsoft Sans Serif" w:eastAsia="Microsoft Sans Serif" w:hAnsi="Microsoft Sans Serif" w:cs="Microsoft Sans Serif"/>
          <w:b/>
          <w:bCs/>
          <w:spacing w:val="1"/>
          <w:w w:val="102"/>
          <w:sz w:val="20"/>
          <w:szCs w:val="18"/>
        </w:rPr>
        <w:t>Theory</w:t>
      </w:r>
    </w:p>
    <w:p w14:paraId="0618F3B3" w14:textId="33385EA3" w:rsidR="00AE2CCB" w:rsidRDefault="00F13E9A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Marginal distribution models for estimating </w:t>
      </w:r>
      <w:r w:rsidR="00317A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extreme weather condition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 are outlined through</w:t>
      </w:r>
      <w:r w:rsidR="00E6538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Fischer-Tip</w:t>
      </w:r>
      <w:r w:rsidR="009E729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pet-Gnedenko theorem</w:t>
      </w:r>
      <w:r w:rsidR="00317AB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stating that </w:t>
      </w:r>
      <w:r w:rsidR="00AE2CC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independent</w:t>
      </w:r>
      <w:r w:rsidR="001E3D0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ly occurring</w:t>
      </w:r>
      <w:r w:rsidR="008A4AE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, </w:t>
      </w:r>
      <w:r w:rsidR="003C4A5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ordered </w:t>
      </w:r>
      <w:r w:rsidR="008A4AE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marginal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variates</w:t>
      </w:r>
      <w:r w:rsidR="008A4AE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asymptotically approach </w:t>
      </w:r>
      <w:r w:rsidR="001E3D0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generalized extreme value distribution</w:t>
      </w:r>
      <w:r w:rsidR="00E4053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See eq. </w:t>
      </w:r>
      <w:r w:rsidR="00E4053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begin"/>
      </w:r>
      <w:r w:rsidR="00E4053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instrText xml:space="preserve"> REF _Ref102565990 \h </w:instrText>
      </w:r>
      <w:r w:rsidR="00C426F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instrText xml:space="preserve"> \* MERGEFORMAT </w:instrText>
      </w:r>
      <w:r w:rsidR="00E4053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r>
      <w:r w:rsidR="00E4053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separate"/>
      </w:r>
      <w:r w:rsidR="00E40532" w:rsidRPr="00C426F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(1</w:t>
      </w:r>
      <w:r w:rsidR="00E4053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end"/>
      </w:r>
      <w:r w:rsidR="00E4053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</w:t>
      </w:r>
    </w:p>
    <w:p w14:paraId="6835BE24" w14:textId="77777777" w:rsidR="00B728DE" w:rsidRDefault="00B728DE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"/>
        <w:gridCol w:w="3879"/>
        <w:gridCol w:w="417"/>
      </w:tblGrid>
      <w:tr w:rsidR="00B728DE" w14:paraId="16CA7085" w14:textId="77777777" w:rsidTr="00A97878">
        <w:tc>
          <w:tcPr>
            <w:tcW w:w="350" w:type="pct"/>
          </w:tcPr>
          <w:p w14:paraId="3BBCC061" w14:textId="77777777" w:rsidR="00B728DE" w:rsidRDefault="00B728DE" w:rsidP="00A2442E">
            <w:pPr>
              <w:jc w:val="both"/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7"/>
              </w:rPr>
            </w:pPr>
          </w:p>
        </w:tc>
        <w:tc>
          <w:tcPr>
            <w:tcW w:w="4300" w:type="pct"/>
            <w:vAlign w:val="center"/>
          </w:tcPr>
          <w:p w14:paraId="532D252D" w14:textId="79991BB4" w:rsidR="00B728DE" w:rsidRDefault="00B728DE" w:rsidP="00A97878">
            <w:pPr>
              <w:jc w:val="center"/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7"/>
              </w:rPr>
            </w:pPr>
            <m:oMathPara>
              <m:oMath>
                <m:r>
                  <w:rPr>
                    <w:rFonts w:ascii="Cambria Math" w:eastAsia="Microsoft Sans Serif" w:hAnsi="Cambria Math" w:cs="Microsoft Sans Serif"/>
                    <w:spacing w:val="1"/>
                    <w:sz w:val="18"/>
                    <w:szCs w:val="17"/>
                  </w:rPr>
                  <m:t>P</m:t>
                </m:r>
                <m:d>
                  <m:dPr>
                    <m:ctrlPr>
                      <w:rPr>
                        <w:rFonts w:ascii="Cambria Math" w:eastAsia="Microsoft Sans Serif" w:hAnsi="Cambria Math" w:cs="Microsoft Sans Serif"/>
                        <w:i/>
                        <w:spacing w:val="1"/>
                        <w:sz w:val="18"/>
                        <w:szCs w:val="17"/>
                      </w:rPr>
                    </m:ctrlPr>
                  </m:dPr>
                  <m:e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x;μ, ξ,ψ</m:t>
                    </m:r>
                  </m:e>
                </m:d>
                <m:r>
                  <w:rPr>
                    <w:rFonts w:ascii="Cambria Math" w:eastAsia="Microsoft Sans Serif" w:hAnsi="Cambria Math" w:cs="Microsoft Sans Serif"/>
                    <w:spacing w:val="1"/>
                    <w:sz w:val="18"/>
                    <w:szCs w:val="17"/>
                  </w:rPr>
                  <m:t>=exp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Microsoft Sans Serif" w:hAnsi="Cambria Math" w:cs="Microsoft Sans Serif"/>
                        <w:i/>
                        <w:spacing w:val="1"/>
                        <w:sz w:val="18"/>
                        <w:szCs w:val="17"/>
                      </w:rPr>
                    </m:ctrlPr>
                  </m:dPr>
                  <m:e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Microsoft Sans Serif" w:hAnsi="Cambria Math" w:cs="Microsoft Sans Serif"/>
                            <w:i/>
                            <w:spacing w:val="1"/>
                            <w:sz w:val="18"/>
                            <w:szCs w:val="17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Microsoft Sans Serif" w:hAnsi="Cambria Math" w:cs="Microsoft Sans Serif"/>
                                <w:i/>
                                <w:spacing w:val="1"/>
                                <w:sz w:val="18"/>
                                <w:szCs w:val="17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1+ξ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Microsoft Sans Serif" w:hAnsi="Cambria Math" w:cs="Microsoft Sans Serif"/>
                                    <w:i/>
                                    <w:spacing w:val="1"/>
                                    <w:sz w:val="18"/>
                                    <w:szCs w:val="17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Microsoft Sans Serif" w:hAnsi="Cambria Math" w:cs="Microsoft Sans Serif"/>
                                    <w:spacing w:val="1"/>
                                    <w:sz w:val="18"/>
                                    <w:szCs w:val="17"/>
                                  </w:rPr>
                                  <m:t>x-μ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Microsoft Sans Serif" w:hAnsi="Cambria Math" w:cs="Microsoft Sans Serif"/>
                                    <w:spacing w:val="1"/>
                                    <w:sz w:val="18"/>
                                    <w:szCs w:val="17"/>
                                  </w:rPr>
                                  <m:t>ψ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="Microsoft Sans Serif" w:hAnsi="Cambria Math" w:cs="Microsoft Sans Serif"/>
                            <w:spacing w:val="1"/>
                            <w:sz w:val="18"/>
                            <w:szCs w:val="17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Microsoft Sans Serif" w:hAnsi="Cambria Math" w:cs="Microsoft Sans Serif"/>
                                <w:i/>
                                <w:spacing w:val="1"/>
                                <w:sz w:val="18"/>
                                <w:szCs w:val="17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ξ</m:t>
                            </m:r>
                          </m:den>
                        </m:f>
                      </m:sup>
                    </m:sSup>
                  </m:e>
                </m:d>
                <m:r>
                  <w:rPr>
                    <w:rFonts w:ascii="Cambria Math" w:eastAsia="Microsoft Sans Serif" w:hAnsi="Cambria Math" w:cs="Microsoft Sans Serif"/>
                    <w:spacing w:val="1"/>
                    <w:sz w:val="18"/>
                    <w:szCs w:val="17"/>
                  </w:rPr>
                  <m:t xml:space="preserve"> , ψ&gt;0</m:t>
                </m:r>
              </m:oMath>
            </m:oMathPara>
          </w:p>
        </w:tc>
        <w:tc>
          <w:tcPr>
            <w:tcW w:w="4300" w:type="pct"/>
            <w:vAlign w:val="center"/>
          </w:tcPr>
          <w:p w14:paraId="05F80452" w14:textId="0111D301" w:rsidR="00B728DE" w:rsidRPr="00B728DE" w:rsidRDefault="00A97878" w:rsidP="00A97878">
            <w:pPr>
              <w:pStyle w:val="Caption"/>
              <w:keepNext/>
              <w:jc w:val="center"/>
            </w:pPr>
            <w:bookmarkStart w:id="0" w:name="_Ref102565990"/>
            <w:r>
              <w:t>(</w:t>
            </w:r>
            <w:fldSimple w:instr=" SEQ Equation \* ARABIC ">
              <w:r w:rsidR="00B728DE">
                <w:rPr>
                  <w:noProof/>
                </w:rPr>
                <w:t>1</w:t>
              </w:r>
            </w:fldSimple>
            <w:bookmarkEnd w:id="0"/>
            <w:r>
              <w:t>)</w:t>
            </w:r>
          </w:p>
        </w:tc>
      </w:tr>
    </w:tbl>
    <w:p w14:paraId="36685F79" w14:textId="2079BECA" w:rsidR="001E3D07" w:rsidRDefault="001E3D07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6F2B56DB" w14:textId="4AD88FDE" w:rsidR="001E3D07" w:rsidRDefault="007101D9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Where µ is </w:t>
      </w:r>
      <w:r w:rsidR="003A28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location parameter,</w:t>
      </w:r>
      <w:r w:rsidR="0026571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ψ</w:t>
      </w:r>
      <w:r w:rsidR="006D293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is the scale parameter &gt;0 and</w:t>
      </w:r>
      <w:r w:rsidR="003A28C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ξ</w:t>
      </w:r>
      <w:r w:rsidR="0026571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is the shape</w:t>
      </w:r>
      <w:r w:rsidR="006D293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parameter. </w:t>
      </w:r>
      <w:r w:rsidR="00FC274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Size of the shape parameter </w:t>
      </w:r>
      <w:r w:rsidR="00524D7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determines which type of extremal distribution, (Fréchet, Gumbel or Weibull) </w:t>
      </w:r>
      <w:r w:rsidR="00254E3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tail behavior converges towards. </w:t>
      </w:r>
      <w:r w:rsidR="00F4432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Inference of the empirical extreme value distributions </w:t>
      </w:r>
      <w:r w:rsidR="008B6B7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are based on least squares fitting </w:t>
      </w:r>
      <w:r w:rsidR="004770C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from extremes extracted utilizing </w:t>
      </w:r>
      <w:r w:rsidR="00F13E9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annual max series. </w:t>
      </w:r>
      <w:r w:rsidR="00751E9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Ra</w:t>
      </w:r>
      <w:r w:rsidR="00AA7FB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nking</w:t>
      </w:r>
      <w:r w:rsidR="00F13E9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extreme values are performed utilizing the </w:t>
      </w:r>
      <w:r w:rsidR="000F196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approximate unbiased estimator called</w:t>
      </w:r>
      <w:r w:rsidR="00AA7FB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</w:t>
      </w:r>
      <w:r w:rsidR="00AD75C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Gringorten plotting position</w:t>
      </w:r>
      <w:r w:rsidR="00E4053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EA3F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sdt>
        <w:sdtPr>
          <w:rPr>
            <w:rFonts w:ascii="Microsoft Sans Serif" w:eastAsia="Microsoft Sans Serif" w:hAnsi="Microsoft Sans Serif" w:cs="Microsoft Sans Serif"/>
            <w:spacing w:val="1"/>
            <w:sz w:val="18"/>
            <w:szCs w:val="17"/>
          </w:rPr>
          <w:id w:val="2034844161"/>
          <w:citation/>
        </w:sdtPr>
        <w:sdtEndPr/>
        <w:sdtContent>
          <w:r w:rsidR="00EA3F88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fldChar w:fldCharType="begin"/>
          </w:r>
          <w:r w:rsidR="00EA3F88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instrText xml:space="preserve"> CITATION IIG63 \l 1033 </w:instrText>
          </w:r>
          <w:r w:rsidR="00EA3F88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fldChar w:fldCharType="separate"/>
          </w:r>
          <w:r w:rsidR="00EA3F88" w:rsidRPr="00EA3F88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t>(Gringorten, 1963)</w:t>
          </w:r>
          <w:r w:rsidR="00EA3F88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fldChar w:fldCharType="end"/>
          </w:r>
        </w:sdtContent>
      </w:sdt>
      <w:r w:rsidR="00EA3F8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E4053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se</w:t>
      </w:r>
      <w:r w:rsidR="00FE5C0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</w:t>
      </w:r>
      <w:r w:rsidR="00E4053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eq. </w:t>
      </w:r>
      <w:r w:rsidR="00E4053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begin"/>
      </w:r>
      <w:r w:rsidR="00E4053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instrText xml:space="preserve"> REF _Ref102565977 \h </w:instrText>
      </w:r>
      <w:r w:rsidR="00C426F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instrText xml:space="preserve"> \* MERGEFORMAT </w:instrText>
      </w:r>
      <w:r w:rsidR="00E4053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r>
      <w:r w:rsidR="00E4053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separate"/>
      </w:r>
      <w:r w:rsidR="00E40532" w:rsidRPr="00C426F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(2</w:t>
      </w:r>
      <w:r w:rsidR="00E4053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end"/>
      </w:r>
      <w:r w:rsidR="00E4053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).</w:t>
      </w:r>
    </w:p>
    <w:p w14:paraId="3BC72E66" w14:textId="77777777" w:rsidR="00120636" w:rsidRDefault="00120636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"/>
        <w:gridCol w:w="3879"/>
        <w:gridCol w:w="417"/>
      </w:tblGrid>
      <w:tr w:rsidR="00A12407" w14:paraId="4D1330E1" w14:textId="77777777" w:rsidTr="00A97878">
        <w:tc>
          <w:tcPr>
            <w:tcW w:w="350" w:type="pct"/>
          </w:tcPr>
          <w:p w14:paraId="0B2ED9C9" w14:textId="77777777" w:rsidR="00A12407" w:rsidRDefault="00A12407" w:rsidP="00A2442E">
            <w:pPr>
              <w:jc w:val="both"/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7"/>
              </w:rPr>
            </w:pPr>
          </w:p>
        </w:tc>
        <w:tc>
          <w:tcPr>
            <w:tcW w:w="4300" w:type="pct"/>
            <w:vAlign w:val="center"/>
          </w:tcPr>
          <w:p w14:paraId="1F659C55" w14:textId="301FE30F" w:rsidR="00A12407" w:rsidRDefault="00220F9C" w:rsidP="00A97878">
            <w:pPr>
              <w:jc w:val="center"/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7"/>
              </w:rPr>
            </w:pPr>
            <m:oMathPara>
              <m:oMath>
                <m:f>
                  <m:fPr>
                    <m:ctrlPr>
                      <w:rPr>
                        <w:rFonts w:ascii="Cambria Math" w:eastAsia="Microsoft Sans Serif" w:hAnsi="Cambria Math" w:cs="Microsoft Sans Serif"/>
                        <w:i/>
                        <w:spacing w:val="1"/>
                        <w:sz w:val="18"/>
                        <w:szCs w:val="17"/>
                      </w:rPr>
                    </m:ctrlPr>
                  </m:fPr>
                  <m:num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r-0.44</m:t>
                    </m:r>
                  </m:num>
                  <m:den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n+0.12</m:t>
                    </m:r>
                  </m:den>
                </m:f>
              </m:oMath>
            </m:oMathPara>
          </w:p>
        </w:tc>
        <w:tc>
          <w:tcPr>
            <w:tcW w:w="4300" w:type="pct"/>
            <w:vAlign w:val="center"/>
          </w:tcPr>
          <w:p w14:paraId="182B3815" w14:textId="6AC47C5F" w:rsidR="00A12407" w:rsidRPr="00B728DE" w:rsidRDefault="00A12407" w:rsidP="00A97878">
            <w:pPr>
              <w:pStyle w:val="Caption"/>
              <w:keepNext/>
              <w:jc w:val="center"/>
            </w:pPr>
            <w:bookmarkStart w:id="1" w:name="_Ref102565977"/>
            <w:r>
              <w:t>(</w:t>
            </w:r>
            <w:fldSimple w:instr=" SEQ Equation \* ARABIC ">
              <w:r>
                <w:rPr>
                  <w:noProof/>
                </w:rPr>
                <w:t>2</w:t>
              </w:r>
            </w:fldSimple>
            <w:bookmarkEnd w:id="1"/>
            <w:r>
              <w:t>)</w:t>
            </w:r>
          </w:p>
        </w:tc>
      </w:tr>
    </w:tbl>
    <w:p w14:paraId="3DDCC51E" w14:textId="77777777" w:rsidR="00617E0D" w:rsidRDefault="00617E0D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7A49B4C2" w14:textId="4D25D139" w:rsidR="00AD75CD" w:rsidRDefault="000F1969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For this paper, inference on wave and wind time-series are </w:t>
      </w:r>
      <w:r w:rsidR="00E57A3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assumed to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follow the type-1</w:t>
      </w:r>
      <w:r w:rsidR="00AD75C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marginal Gumbel distribution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 w:rsidR="00CC484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Gumbel distribution is unconstrained maximally, </w:t>
      </w:r>
      <w:r w:rsidR="002673E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which physically is inconsistent with wind speeds occurring on the planet.</w:t>
      </w:r>
    </w:p>
    <w:p w14:paraId="4D72901D" w14:textId="77777777" w:rsidR="000341C4" w:rsidRDefault="000341C4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070119C4" w14:textId="28E3185B" w:rsidR="000341C4" w:rsidRDefault="000341C4" w:rsidP="000341C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environmental contour is established from the measured data-series through </w:t>
      </w:r>
      <w:r w:rsidR="00F15A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G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umbel space transformations and dependence </w:t>
      </w:r>
      <w:r w:rsidR="00F15A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hierarchies. After </w:t>
      </w:r>
      <w:r w:rsidR="00F15A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establishment, the inverse transformation is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utilized to construct environmental contours of return period levels, Tr = {5, 10, 50, 100} years</w:t>
      </w:r>
      <w:r w:rsidR="00F15A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for combinations of wind and wave events.</w:t>
      </w:r>
      <w:r w:rsidR="002A46C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</w:p>
    <w:p w14:paraId="0C7B95E5" w14:textId="77777777" w:rsidR="002A46C2" w:rsidRDefault="002A46C2" w:rsidP="000341C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2BECF682" w14:textId="1E15E874" w:rsidR="002A46C2" w:rsidRDefault="002A46C2" w:rsidP="000341C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covariates existing from the inferred variables of </w:t>
      </w:r>
      <w:r w:rsidR="00D749B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wind and wave, are acknowledged to exist, but are not considered in the present paper.</w:t>
      </w:r>
    </w:p>
    <w:p w14:paraId="50462B80" w14:textId="77777777" w:rsidR="000341C4" w:rsidRPr="00B807EE" w:rsidRDefault="000341C4" w:rsidP="000341C4">
      <w:pPr>
        <w:spacing w:after="0" w:line="240" w:lineRule="auto"/>
        <w:rPr>
          <w:sz w:val="20"/>
          <w:szCs w:val="19"/>
        </w:rPr>
      </w:pPr>
    </w:p>
    <w:p w14:paraId="2EFFA94A" w14:textId="65DFE4B9" w:rsidR="000341C4" w:rsidRDefault="000341C4" w:rsidP="000341C4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C426F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For return period values above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100</w:t>
      </w:r>
      <w:r w:rsidRPr="00C426F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years,</w:t>
      </w:r>
      <w:r w:rsidR="00F15A4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underlying time-series is insufficient in providing reliable estimates. As a remedy, the</w:t>
      </w:r>
      <w:r w:rsidRPr="00C426F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Markov-Chain Monte-Carlo sampling </w:t>
      </w:r>
      <w:r w:rsidR="002A46C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techniques</w:t>
      </w:r>
      <w:r w:rsidRPr="00C426F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can be</w:t>
      </w:r>
      <w:r w:rsidRPr="00C426F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utilized to sample from the inferred variable space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</w:p>
    <w:p w14:paraId="0A380EF5" w14:textId="77777777" w:rsidR="0080034C" w:rsidRDefault="0080034C" w:rsidP="0080034C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-4"/>
          <w:sz w:val="18"/>
          <w:szCs w:val="24"/>
        </w:rPr>
      </w:pPr>
    </w:p>
    <w:p w14:paraId="2E7DA575" w14:textId="12D7976B" w:rsidR="0080034C" w:rsidRPr="005D4133" w:rsidRDefault="0080034C" w:rsidP="0080034C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b/>
          <w:bCs/>
          <w:spacing w:val="1"/>
          <w:w w:val="102"/>
          <w:sz w:val="20"/>
          <w:szCs w:val="18"/>
        </w:rPr>
      </w:pPr>
      <w:r w:rsidRPr="005D4133">
        <w:rPr>
          <w:rFonts w:ascii="Microsoft Sans Serif" w:eastAsia="Microsoft Sans Serif" w:hAnsi="Microsoft Sans Serif" w:cs="Microsoft Sans Serif"/>
          <w:b/>
          <w:bCs/>
          <w:spacing w:val="1"/>
          <w:w w:val="102"/>
          <w:sz w:val="20"/>
          <w:szCs w:val="18"/>
        </w:rPr>
        <w:t>Data</w:t>
      </w:r>
    </w:p>
    <w:p w14:paraId="59272C80" w14:textId="0E2B28D6" w:rsidR="0080034C" w:rsidRPr="00C426F0" w:rsidRDefault="0080034C" w:rsidP="0080034C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C426F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As an </w:t>
      </w:r>
      <w:r w:rsidR="00116563" w:rsidRPr="00C426F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example,</w:t>
      </w:r>
      <w:r w:rsidRPr="00C426F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time</w:t>
      </w:r>
      <w:r w:rsidR="00762DD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Pr="00C426F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series utilized for this study, measured timeseries of H</w:t>
      </w:r>
      <w:r w:rsidRPr="00C732C3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bscript"/>
        </w:rPr>
        <w:t>1/3</w:t>
      </w:r>
      <w:r w:rsidRPr="00C426F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 and horizontal wind speed is utilized. The data have been quality controlled internally and is generally available on the EMODnet website for download.</w:t>
      </w:r>
    </w:p>
    <w:p w14:paraId="15C2E48A" w14:textId="77777777" w:rsidR="00FA1E68" w:rsidRDefault="00FA1E68">
      <w:pPr>
        <w:spacing w:before="9" w:after="0" w:line="190" w:lineRule="exact"/>
        <w:rPr>
          <w:sz w:val="19"/>
          <w:szCs w:val="19"/>
        </w:rPr>
      </w:pPr>
    </w:p>
    <w:p w14:paraId="70C64245" w14:textId="6B92CE95" w:rsidR="00FA1E68" w:rsidRDefault="00F26721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7A5566F" wp14:editId="4BC1455D">
            <wp:extent cx="2900045" cy="2177415"/>
            <wp:effectExtent l="0" t="0" r="0" b="0"/>
            <wp:docPr id="2" name="Picture 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7A731" w14:textId="4D37CCFA" w:rsidR="00EE52C0" w:rsidRDefault="008B6510" w:rsidP="009D70D0">
      <w:pPr>
        <w:spacing w:before="49" w:after="0" w:line="245" w:lineRule="auto"/>
        <w:ind w:right="69"/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Fig</w:t>
      </w:r>
      <w:r>
        <w:rPr>
          <w:rFonts w:ascii="Microsoft Sans Serif" w:eastAsia="Microsoft Sans Serif" w:hAnsi="Microsoft Sans Serif" w:cs="Microsoft Sans Serif"/>
          <w:spacing w:val="-1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spacing w:val="2"/>
          <w:sz w:val="17"/>
          <w:szCs w:val="17"/>
        </w:rPr>
        <w:t>r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spacing w:val="12"/>
          <w:sz w:val="17"/>
          <w:szCs w:val="17"/>
        </w:rPr>
        <w:t xml:space="preserve"> </w:t>
      </w:r>
      <w:r w:rsidR="00086E48">
        <w:rPr>
          <w:rFonts w:ascii="Microsoft Sans Serif" w:eastAsia="Microsoft Sans Serif" w:hAnsi="Microsoft Sans Serif" w:cs="Microsoft Sans Serif"/>
          <w:sz w:val="17"/>
          <w:szCs w:val="17"/>
        </w:rPr>
        <w:t xml:space="preserve">1 </w:t>
      </w:r>
      <w:r w:rsidR="00086E48">
        <w:rPr>
          <w:rFonts w:ascii="Microsoft Sans Serif" w:eastAsia="Microsoft Sans Serif" w:hAnsi="Microsoft Sans Serif" w:cs="Microsoft Sans Serif"/>
          <w:spacing w:val="2"/>
          <w:sz w:val="17"/>
          <w:szCs w:val="17"/>
        </w:rPr>
        <w:t>–</w:t>
      </w:r>
      <w:r w:rsidR="00F26721" w:rsidRPr="00F26721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top: </w:t>
      </w:r>
      <w:r w:rsidR="00F26721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>timeseries data of H</w:t>
      </w:r>
      <w:r w:rsidR="00F26721">
        <w:rPr>
          <w:rFonts w:ascii="Microsoft Sans Serif" w:eastAsia="Microsoft Sans Serif" w:hAnsi="Microsoft Sans Serif" w:cs="Microsoft Sans Serif"/>
          <w:spacing w:val="1"/>
          <w:sz w:val="17"/>
          <w:szCs w:val="17"/>
          <w:vertAlign w:val="subscript"/>
        </w:rPr>
        <w:t>1/3</w:t>
      </w:r>
      <w:r w:rsidR="00F26721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t xml:space="preserve"> in [m] </w:t>
      </w:r>
      <w:r w:rsidR="00F26721"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  <w:br/>
        <w:t>bottom: Horizontal mean wind speed [m/s]</w:t>
      </w:r>
    </w:p>
    <w:p w14:paraId="3D248358" w14:textId="77777777" w:rsidR="00813292" w:rsidRDefault="00813292" w:rsidP="009D70D0">
      <w:pPr>
        <w:spacing w:before="49" w:after="0" w:line="245" w:lineRule="auto"/>
        <w:ind w:right="69"/>
        <w:rPr>
          <w:rFonts w:ascii="Microsoft Sans Serif" w:eastAsia="Microsoft Sans Serif" w:hAnsi="Microsoft Sans Serif" w:cs="Microsoft Sans Serif"/>
          <w:spacing w:val="1"/>
          <w:sz w:val="17"/>
          <w:szCs w:val="17"/>
        </w:rPr>
      </w:pPr>
    </w:p>
    <w:p w14:paraId="2A85121E" w14:textId="42C07A64" w:rsidR="00FA03E1" w:rsidRDefault="00813292" w:rsidP="00F22F40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F22F4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Utilizing annual max extraction techniques for peak detection on the above time-series, the peaks are then ranked and a type 1, </w:t>
      </w:r>
      <w:r w:rsidR="00211141" w:rsidRPr="00F22F4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Gumbel, unconstrained, extreme value distribution is fitted to ranked variates utilizing least-</w:t>
      </w:r>
      <w:r w:rsidR="00081D8E" w:rsidRPr="00F22F4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squares</w:t>
      </w:r>
      <w:r w:rsidR="00211141" w:rsidRPr="00F22F4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methodologies. Th</w:t>
      </w:r>
      <w:r w:rsidR="00F53AFB" w:rsidRPr="00F22F4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 shape and scale parameters are outlined in </w:t>
      </w:r>
      <w:r w:rsidR="00081D8E" w:rsidRPr="00F22F4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begin"/>
      </w:r>
      <w:r w:rsidR="00081D8E" w:rsidRPr="00F22F4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instrText xml:space="preserve"> REF _Ref112757874 \h  \* MERGEFORMAT </w:instrText>
      </w:r>
      <w:r w:rsidR="00081D8E" w:rsidRPr="00F22F4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r>
      <w:r w:rsidR="00081D8E" w:rsidRPr="00F22F4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separate"/>
      </w:r>
      <w:r w:rsidR="00081D8E" w:rsidRPr="00F22F4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Table 1</w:t>
      </w:r>
      <w:r w:rsidR="00081D8E" w:rsidRPr="00F22F4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fldChar w:fldCharType="end"/>
      </w:r>
      <w:r w:rsidR="00911507" w:rsidRPr="00F22F4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resulting fits with ranked variates are displayed in figures </w:t>
      </w:r>
      <w:r w:rsidR="00D94EDB" w:rsidRPr="00F22F4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2-3.</w:t>
      </w:r>
    </w:p>
    <w:p w14:paraId="420BE723" w14:textId="77777777" w:rsidR="00FA03E1" w:rsidRPr="00F22F40" w:rsidRDefault="00FA03E1" w:rsidP="00F22F40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444DE11B" w14:textId="294081BF" w:rsidR="00081D8E" w:rsidRDefault="00081D8E" w:rsidP="00081D8E">
      <w:pPr>
        <w:pStyle w:val="Caption"/>
        <w:keepNext/>
      </w:pPr>
      <w:bookmarkStart w:id="2" w:name="_Ref112757874"/>
      <w:r>
        <w:t xml:space="preserve">Table </w:t>
      </w:r>
      <w:fldSimple w:instr=" SEQ Table \* ARABIC ">
        <w:r>
          <w:rPr>
            <w:noProof/>
          </w:rPr>
          <w:t>1</w:t>
        </w:r>
      </w:fldSimple>
      <w:bookmarkEnd w:id="2"/>
      <w:r>
        <w:t xml:space="preserve"> - Fitted parameters for the </w:t>
      </w:r>
      <w:r w:rsidR="00F22F40">
        <w:t>Gumbel</w:t>
      </w:r>
      <w:r>
        <w:t xml:space="preserve"> type 1 extreme value distribution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19"/>
        <w:gridCol w:w="1519"/>
        <w:gridCol w:w="1519"/>
      </w:tblGrid>
      <w:tr w:rsidR="00AF02CB" w14:paraId="6492D2B1" w14:textId="77777777" w:rsidTr="00081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2F262A9A" w14:textId="0FB528F8" w:rsidR="00AF02CB" w:rsidRDefault="00AF02CB" w:rsidP="0063776E">
            <w:pPr>
              <w:spacing w:before="49" w:line="245" w:lineRule="auto"/>
              <w:ind w:right="69"/>
              <w:jc w:val="center"/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</w:rPr>
              <w:t>Variate</w:t>
            </w:r>
          </w:p>
        </w:tc>
        <w:tc>
          <w:tcPr>
            <w:tcW w:w="1519" w:type="dxa"/>
          </w:tcPr>
          <w:p w14:paraId="663D187B" w14:textId="43A8470E" w:rsidR="00AF02CB" w:rsidRDefault="0063776E" w:rsidP="0063776E">
            <w:pPr>
              <w:spacing w:before="49" w:line="245" w:lineRule="auto"/>
              <w:ind w:right="6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7"/>
              </w:rPr>
              <w:t>ξ</w:t>
            </w:r>
          </w:p>
        </w:tc>
        <w:tc>
          <w:tcPr>
            <w:tcW w:w="1519" w:type="dxa"/>
          </w:tcPr>
          <w:p w14:paraId="50E10BE9" w14:textId="3AD7B51F" w:rsidR="00AF02CB" w:rsidRDefault="0063776E" w:rsidP="0063776E">
            <w:pPr>
              <w:spacing w:before="49" w:line="245" w:lineRule="auto"/>
              <w:ind w:right="6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7"/>
              </w:rPr>
              <w:t>ψ</w:t>
            </w:r>
          </w:p>
        </w:tc>
      </w:tr>
      <w:tr w:rsidR="00AF02CB" w14:paraId="57D792D6" w14:textId="77777777" w:rsidTr="0008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6FA9C377" w14:textId="384BBB87" w:rsidR="00AF02CB" w:rsidRPr="0063776E" w:rsidRDefault="00AF02CB" w:rsidP="0063776E">
            <w:pPr>
              <w:spacing w:before="49" w:line="245" w:lineRule="auto"/>
              <w:ind w:right="69"/>
              <w:jc w:val="center"/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</w:rPr>
              <w:t>H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  <w:vertAlign w:val="subscript"/>
              </w:rPr>
              <w:t>1/3</w:t>
            </w:r>
            <w:r w:rsidR="0063776E"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</w:rPr>
              <w:t xml:space="preserve"> [m]</w:t>
            </w:r>
          </w:p>
        </w:tc>
        <w:tc>
          <w:tcPr>
            <w:tcW w:w="1519" w:type="dxa"/>
          </w:tcPr>
          <w:p w14:paraId="5EBC8D09" w14:textId="5608D2E4" w:rsidR="00AF02CB" w:rsidRDefault="006A42A0" w:rsidP="0063776E">
            <w:pPr>
              <w:spacing w:before="49" w:line="245" w:lineRule="auto"/>
              <w:ind w:right="6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</w:rPr>
            </w:pPr>
            <w:r w:rsidRPr="006A42A0"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</w:rPr>
              <w:t>8.23</w:t>
            </w:r>
          </w:p>
        </w:tc>
        <w:tc>
          <w:tcPr>
            <w:tcW w:w="1519" w:type="dxa"/>
          </w:tcPr>
          <w:p w14:paraId="027B8630" w14:textId="2B8F66B8" w:rsidR="00AF02CB" w:rsidRDefault="00FE0521" w:rsidP="0063776E">
            <w:pPr>
              <w:spacing w:before="49" w:line="245" w:lineRule="auto"/>
              <w:ind w:right="6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</w:rPr>
            </w:pPr>
            <w:r w:rsidRPr="00FE0521"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</w:rPr>
              <w:t>1.10</w:t>
            </w:r>
          </w:p>
        </w:tc>
      </w:tr>
      <w:tr w:rsidR="00AF02CB" w14:paraId="0B880009" w14:textId="77777777" w:rsidTr="0008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0D7F8ACE" w14:textId="17D96048" w:rsidR="00AF02CB" w:rsidRDefault="0063776E" w:rsidP="0063776E">
            <w:pPr>
              <w:spacing w:before="49" w:line="245" w:lineRule="auto"/>
              <w:ind w:right="69"/>
              <w:jc w:val="center"/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</w:rPr>
              <w:t>WS [m/s]</w:t>
            </w:r>
          </w:p>
        </w:tc>
        <w:tc>
          <w:tcPr>
            <w:tcW w:w="1519" w:type="dxa"/>
          </w:tcPr>
          <w:p w14:paraId="70FCBAFA" w14:textId="0D5F0721" w:rsidR="00AF02CB" w:rsidRDefault="00081D8E" w:rsidP="0063776E">
            <w:pPr>
              <w:spacing w:before="49" w:line="245" w:lineRule="auto"/>
              <w:ind w:right="6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</w:rPr>
            </w:pPr>
            <w:r w:rsidRPr="00081D8E"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</w:rPr>
              <w:t>23.43</w:t>
            </w:r>
          </w:p>
        </w:tc>
        <w:tc>
          <w:tcPr>
            <w:tcW w:w="1519" w:type="dxa"/>
          </w:tcPr>
          <w:p w14:paraId="2A9E073A" w14:textId="5C438019" w:rsidR="00AF02CB" w:rsidRDefault="00167E3B" w:rsidP="0063776E">
            <w:pPr>
              <w:spacing w:before="49" w:line="245" w:lineRule="auto"/>
              <w:ind w:right="6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</w:rPr>
            </w:pPr>
            <w:r>
              <w:rPr>
                <w:rFonts w:ascii="Microsoft Sans Serif" w:eastAsia="Microsoft Sans Serif" w:hAnsi="Microsoft Sans Serif" w:cs="Microsoft Sans Serif"/>
                <w:spacing w:val="1"/>
                <w:sz w:val="17"/>
                <w:szCs w:val="17"/>
              </w:rPr>
              <w:t>2.85</w:t>
            </w:r>
          </w:p>
        </w:tc>
      </w:tr>
    </w:tbl>
    <w:p w14:paraId="5B1A121D" w14:textId="77777777" w:rsidR="009D70D0" w:rsidRDefault="009D70D0" w:rsidP="009D70D0">
      <w:pPr>
        <w:keepNext/>
      </w:pPr>
      <w:r>
        <w:rPr>
          <w:noProof/>
        </w:rPr>
        <w:lastRenderedPageBreak/>
        <w:drawing>
          <wp:inline distT="0" distB="0" distL="0" distR="0" wp14:anchorId="43664E07" wp14:editId="19339583">
            <wp:extent cx="2900045" cy="2177415"/>
            <wp:effectExtent l="0" t="0" r="0" b="0"/>
            <wp:docPr id="5" name="Picture 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7CBA2" w14:textId="3DD33493" w:rsidR="009D70D0" w:rsidRDefault="009D70D0" w:rsidP="009D70D0">
      <w:pPr>
        <w:pStyle w:val="Caption"/>
        <w:rPr>
          <w:rFonts w:ascii="Microsoft Sans Serif" w:eastAsia="Microsoft Sans Serif" w:hAnsi="Microsoft Sans Serif" w:cs="Microsoft Sans Serif"/>
          <w:i w:val="0"/>
          <w:iCs w:val="0"/>
          <w:color w:val="auto"/>
          <w:sz w:val="17"/>
          <w:szCs w:val="17"/>
        </w:rPr>
      </w:pPr>
      <w:r w:rsidRPr="006E7B58">
        <w:rPr>
          <w:rFonts w:ascii="Microsoft Sans Serif" w:eastAsia="Microsoft Sans Serif" w:hAnsi="Microsoft Sans Serif" w:cs="Microsoft Sans Serif"/>
          <w:i w:val="0"/>
          <w:iCs w:val="0"/>
          <w:color w:val="auto"/>
          <w:sz w:val="17"/>
          <w:szCs w:val="17"/>
        </w:rPr>
        <w:t xml:space="preserve">Figure </w:t>
      </w:r>
      <w:r w:rsidR="006E7B58">
        <w:rPr>
          <w:rFonts w:ascii="Microsoft Sans Serif" w:eastAsia="Microsoft Sans Serif" w:hAnsi="Microsoft Sans Serif" w:cs="Microsoft Sans Serif"/>
          <w:i w:val="0"/>
          <w:iCs w:val="0"/>
          <w:color w:val="auto"/>
          <w:sz w:val="17"/>
          <w:szCs w:val="17"/>
        </w:rPr>
        <w:t>2</w:t>
      </w:r>
      <w:r w:rsidRPr="006E7B58">
        <w:rPr>
          <w:rFonts w:ascii="Microsoft Sans Serif" w:eastAsia="Microsoft Sans Serif" w:hAnsi="Microsoft Sans Serif" w:cs="Microsoft Sans Serif"/>
          <w:i w:val="0"/>
          <w:iCs w:val="0"/>
          <w:color w:val="auto"/>
          <w:sz w:val="17"/>
          <w:szCs w:val="17"/>
        </w:rPr>
        <w:t xml:space="preserve"> - Least-squares fitting of type</w:t>
      </w:r>
      <w:r w:rsidR="00A22191" w:rsidRPr="006E7B58">
        <w:rPr>
          <w:rFonts w:ascii="Microsoft Sans Serif" w:eastAsia="Microsoft Sans Serif" w:hAnsi="Microsoft Sans Serif" w:cs="Microsoft Sans Serif"/>
          <w:i w:val="0"/>
          <w:iCs w:val="0"/>
          <w:color w:val="auto"/>
          <w:sz w:val="17"/>
          <w:szCs w:val="17"/>
        </w:rPr>
        <w:t xml:space="preserve"> 1</w:t>
      </w:r>
      <w:r w:rsidRPr="006E7B58">
        <w:rPr>
          <w:rFonts w:ascii="Microsoft Sans Serif" w:eastAsia="Microsoft Sans Serif" w:hAnsi="Microsoft Sans Serif" w:cs="Microsoft Sans Serif"/>
          <w:i w:val="0"/>
          <w:iCs w:val="0"/>
          <w:color w:val="auto"/>
          <w:sz w:val="17"/>
          <w:szCs w:val="17"/>
        </w:rPr>
        <w:t xml:space="preserve"> Gumbel extreme value distribution with </w:t>
      </w:r>
      <w:r w:rsidR="00A22191" w:rsidRPr="006E7B58">
        <w:rPr>
          <w:rFonts w:ascii="Microsoft Sans Serif" w:eastAsia="Microsoft Sans Serif" w:hAnsi="Microsoft Sans Serif" w:cs="Microsoft Sans Serif"/>
          <w:i w:val="0"/>
          <w:iCs w:val="0"/>
          <w:color w:val="auto"/>
          <w:sz w:val="17"/>
          <w:szCs w:val="17"/>
        </w:rPr>
        <w:t>10.000 bootstrap</w:t>
      </w:r>
      <w:r w:rsidR="0090308D">
        <w:rPr>
          <w:rFonts w:ascii="Microsoft Sans Serif" w:eastAsia="Microsoft Sans Serif" w:hAnsi="Microsoft Sans Serif" w:cs="Microsoft Sans Serif"/>
          <w:i w:val="0"/>
          <w:iCs w:val="0"/>
          <w:color w:val="auto"/>
          <w:sz w:val="17"/>
          <w:szCs w:val="17"/>
        </w:rPr>
        <w:t>, 95%</w:t>
      </w:r>
      <w:r w:rsidR="00A22191" w:rsidRPr="006E7B58">
        <w:rPr>
          <w:rFonts w:ascii="Microsoft Sans Serif" w:eastAsia="Microsoft Sans Serif" w:hAnsi="Microsoft Sans Serif" w:cs="Microsoft Sans Serif"/>
          <w:i w:val="0"/>
          <w:iCs w:val="0"/>
          <w:color w:val="auto"/>
          <w:sz w:val="17"/>
          <w:szCs w:val="17"/>
        </w:rPr>
        <w:t xml:space="preserve"> confidence intervals</w:t>
      </w:r>
      <w:r w:rsidR="0090308D">
        <w:rPr>
          <w:rFonts w:ascii="Microsoft Sans Serif" w:eastAsia="Microsoft Sans Serif" w:hAnsi="Microsoft Sans Serif" w:cs="Microsoft Sans Serif"/>
          <w:i w:val="0"/>
          <w:iCs w:val="0"/>
          <w:color w:val="auto"/>
          <w:sz w:val="17"/>
          <w:szCs w:val="17"/>
        </w:rPr>
        <w:t>.</w:t>
      </w:r>
      <w:r>
        <w:rPr>
          <w:noProof/>
        </w:rPr>
        <w:drawing>
          <wp:inline distT="0" distB="0" distL="0" distR="0" wp14:anchorId="46CC3ACF" wp14:editId="6A0D0FEE">
            <wp:extent cx="2900045" cy="2177415"/>
            <wp:effectExtent l="0" t="0" r="0" b="0"/>
            <wp:docPr id="4" name="Picture 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B58">
        <w:rPr>
          <w:rFonts w:ascii="Microsoft Sans Serif" w:eastAsia="Microsoft Sans Serif" w:hAnsi="Microsoft Sans Serif" w:cs="Microsoft Sans Serif"/>
          <w:i w:val="0"/>
          <w:iCs w:val="0"/>
          <w:color w:val="auto"/>
          <w:sz w:val="17"/>
          <w:szCs w:val="17"/>
        </w:rPr>
        <w:t xml:space="preserve">Figure </w:t>
      </w:r>
      <w:r w:rsidR="006E7B58">
        <w:rPr>
          <w:rFonts w:ascii="Microsoft Sans Serif" w:eastAsia="Microsoft Sans Serif" w:hAnsi="Microsoft Sans Serif" w:cs="Microsoft Sans Serif"/>
          <w:i w:val="0"/>
          <w:iCs w:val="0"/>
          <w:color w:val="auto"/>
          <w:sz w:val="17"/>
          <w:szCs w:val="17"/>
        </w:rPr>
        <w:t>3</w:t>
      </w:r>
      <w:r w:rsidRPr="006E7B58">
        <w:rPr>
          <w:rFonts w:ascii="Microsoft Sans Serif" w:eastAsia="Microsoft Sans Serif" w:hAnsi="Microsoft Sans Serif" w:cs="Microsoft Sans Serif"/>
          <w:i w:val="0"/>
          <w:iCs w:val="0"/>
          <w:color w:val="auto"/>
          <w:sz w:val="17"/>
          <w:szCs w:val="17"/>
        </w:rPr>
        <w:t xml:space="preserve"> - </w:t>
      </w:r>
      <w:r w:rsidR="00A22191" w:rsidRPr="006E7B58">
        <w:rPr>
          <w:rFonts w:ascii="Microsoft Sans Serif" w:eastAsia="Microsoft Sans Serif" w:hAnsi="Microsoft Sans Serif" w:cs="Microsoft Sans Serif"/>
          <w:i w:val="0"/>
          <w:iCs w:val="0"/>
          <w:color w:val="auto"/>
          <w:sz w:val="17"/>
          <w:szCs w:val="17"/>
        </w:rPr>
        <w:t>Least-squares fitting of type 1 Gumbel extreme value distribution with 10.000 bootstrap confidence intervals for wind speed distribution.</w:t>
      </w:r>
    </w:p>
    <w:p w14:paraId="5E7A0AAC" w14:textId="7A811528" w:rsidR="00841DCC" w:rsidRDefault="00FA03E1" w:rsidP="00602B8C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inferred </w:t>
      </w:r>
      <w:r w:rsidR="00841DC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Gumbel distributions are </w:t>
      </w:r>
      <w:r w:rsidR="00A345E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Laplace</w:t>
      </w:r>
      <w:r w:rsidR="00841DC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transformed </w:t>
      </w:r>
      <w:r w:rsidR="00A345E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utilizing methodologies from </w:t>
      </w:r>
      <w:sdt>
        <w:sdtPr>
          <w:rPr>
            <w:rFonts w:ascii="Microsoft Sans Serif" w:eastAsia="Microsoft Sans Serif" w:hAnsi="Microsoft Sans Serif" w:cs="Microsoft Sans Serif"/>
            <w:spacing w:val="1"/>
            <w:sz w:val="18"/>
            <w:szCs w:val="17"/>
          </w:rPr>
          <w:id w:val="-103428001"/>
          <w:citation/>
        </w:sdtPr>
        <w:sdtEndPr/>
        <w:sdtContent>
          <w:r w:rsidR="00A345E9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fldChar w:fldCharType="begin"/>
          </w:r>
          <w:r w:rsidR="00A345E9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instrText xml:space="preserve"> CITATION Car12 \l 1033 </w:instrText>
          </w:r>
          <w:r w:rsidR="00A345E9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fldChar w:fldCharType="separate"/>
          </w:r>
          <w:r w:rsidR="00A345E9" w:rsidRPr="00A345E9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t>(Caroline Keef, 2012)</w:t>
          </w:r>
          <w:r w:rsidR="00A345E9"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  <w:fldChar w:fldCharType="end"/>
          </w:r>
        </w:sdtContent>
      </w:sdt>
      <w:r w:rsidR="00A345E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see eq. </w:t>
      </w:r>
      <w:r w:rsidR="0031524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3</w:t>
      </w:r>
      <w:r w:rsidR="00602B8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"/>
        <w:gridCol w:w="3879"/>
        <w:gridCol w:w="417"/>
      </w:tblGrid>
      <w:tr w:rsidR="00A345E9" w14:paraId="2B767570" w14:textId="77777777" w:rsidTr="00BB1593">
        <w:tc>
          <w:tcPr>
            <w:tcW w:w="350" w:type="pct"/>
          </w:tcPr>
          <w:p w14:paraId="3AB68DE8" w14:textId="77777777" w:rsidR="00A345E9" w:rsidRDefault="00A345E9" w:rsidP="00BB1593">
            <w:pPr>
              <w:jc w:val="both"/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7"/>
              </w:rPr>
            </w:pPr>
          </w:p>
        </w:tc>
        <w:tc>
          <w:tcPr>
            <w:tcW w:w="4300" w:type="pct"/>
            <w:vAlign w:val="center"/>
          </w:tcPr>
          <w:p w14:paraId="086EE091" w14:textId="3CCAD186" w:rsidR="00A345E9" w:rsidRDefault="00FA5BDC" w:rsidP="00BB1593">
            <w:pPr>
              <w:jc w:val="center"/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7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icrosoft Sans Serif" w:hAnsi="Cambria Math" w:cs="Microsoft Sans Serif"/>
                        <w:i/>
                        <w:spacing w:val="1"/>
                        <w:sz w:val="18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Y</m:t>
                    </m:r>
                  </m:e>
                  <m:sub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i</m:t>
                    </m:r>
                  </m:sub>
                </m:sSub>
                <m:r>
                  <w:rPr>
                    <w:rFonts w:ascii="Cambria Math" w:eastAsia="Microsoft Sans Serif" w:hAnsi="Cambria Math" w:cs="Microsoft Sans Serif"/>
                    <w:spacing w:val="1"/>
                    <w:sz w:val="18"/>
                    <w:szCs w:val="17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Microsoft Sans Serif" w:hAnsi="Cambria Math" w:cs="Microsoft Sans Serif"/>
                        <w:i/>
                        <w:spacing w:val="1"/>
                        <w:sz w:val="18"/>
                        <w:szCs w:val="17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Microsoft Sans Serif" w:hAnsi="Cambria Math" w:cs="Microsoft Sans Serif"/>
                            <w:i/>
                            <w:spacing w:val="1"/>
                            <w:sz w:val="18"/>
                            <w:szCs w:val="17"/>
                          </w:rPr>
                        </m:ctrlPr>
                      </m:eqArrPr>
                      <m:e>
                        <m:func>
                          <m:funcPr>
                            <m:ctrlPr>
                              <w:rPr>
                                <w:rFonts w:ascii="Cambria Math" w:eastAsia="Microsoft Sans Serif" w:hAnsi="Cambria Math" w:cs="Microsoft Sans Serif"/>
                                <w:i/>
                                <w:spacing w:val="1"/>
                                <w:sz w:val="18"/>
                                <w:szCs w:val="17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log</m:t>
                            </m:r>
                          </m:fName>
                          <m:e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eastAsia="Microsoft Sans Serif" w:hAnsi="Cambria Math" w:cs="Microsoft Sans Serif"/>
                                    <w:i/>
                                    <w:spacing w:val="1"/>
                                    <w:sz w:val="18"/>
                                    <w:szCs w:val="17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Microsoft Sans Serif" w:hAnsi="Cambria Math" w:cs="Microsoft Sans Serif"/>
                                    <w:spacing w:val="1"/>
                                    <w:sz w:val="18"/>
                                    <w:szCs w:val="17"/>
                                  </w:rPr>
                                  <m:t>2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Microsoft Sans Serif" w:hAnsi="Cambria Math" w:cs="Microsoft Sans Serif"/>
                                        <w:i/>
                                        <w:spacing w:val="1"/>
                                        <w:sz w:val="18"/>
                                        <w:szCs w:val="17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Microsoft Sans Serif" w:hAnsi="Cambria Math" w:cs="Microsoft Sans Serif"/>
                                        <w:spacing w:val="1"/>
                                        <w:sz w:val="18"/>
                                        <w:szCs w:val="17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Microsoft Sans Serif" w:hAnsi="Cambria Math" w:cs="Microsoft Sans Serif"/>
                                        <w:spacing w:val="1"/>
                                        <w:sz w:val="18"/>
                                        <w:szCs w:val="17"/>
                                      </w:rPr>
                                      <m:t>i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="Microsoft Sans Serif" w:hAnsi="Cambria Math" w:cs="Microsoft Sans Serif"/>
                                        <w:i/>
                                        <w:spacing w:val="1"/>
                                        <w:sz w:val="18"/>
                                        <w:szCs w:val="17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Microsoft Sans Serif" w:hAnsi="Cambria Math" w:cs="Microsoft Sans Serif"/>
                                            <w:i/>
                                            <w:spacing w:val="1"/>
                                            <w:sz w:val="18"/>
                                            <w:szCs w:val="17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Microsoft Sans Serif" w:hAnsi="Cambria Math" w:cs="Microsoft Sans Serif"/>
                                            <w:spacing w:val="1"/>
                                            <w:sz w:val="18"/>
                                            <w:szCs w:val="17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Microsoft Sans Serif" w:hAnsi="Cambria Math" w:cs="Microsoft Sans Serif"/>
                                            <w:spacing w:val="1"/>
                                            <w:sz w:val="18"/>
                                            <w:szCs w:val="17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</m:d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 xml:space="preserve"> </m:t>
                            </m:r>
                          </m:e>
                        </m:func>
                        <m:r>
                          <w:rPr>
                            <w:rFonts w:ascii="Cambria Math" w:eastAsia="Microsoft Sans Serif" w:hAnsi="Cambria Math" w:cs="Microsoft Sans Serif"/>
                            <w:spacing w:val="1"/>
                            <w:sz w:val="18"/>
                            <w:szCs w:val="17"/>
                          </w:rPr>
                          <m:t xml:space="preserve">                for </m:t>
                        </m:r>
                        <m:sSub>
                          <m:sSubPr>
                            <m:ctrlPr>
                              <w:rPr>
                                <w:rFonts w:ascii="Cambria Math" w:eastAsia="Microsoft Sans Serif" w:hAnsi="Cambria Math" w:cs="Microsoft Sans Serif"/>
                                <w:i/>
                                <w:spacing w:val="1"/>
                                <w:sz w:val="18"/>
                                <w:szCs w:val="17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Microsoft Sans Serif" w:hAnsi="Cambria Math" w:cs="Microsoft Sans Serif"/>
                            <w:spacing w:val="1"/>
                            <w:sz w:val="18"/>
                            <w:szCs w:val="17"/>
                          </w:rPr>
                          <m:t>&lt;</m:t>
                        </m:r>
                        <m:sSubSup>
                          <m:sSubSupPr>
                            <m:ctrlPr>
                              <w:rPr>
                                <w:rFonts w:ascii="Cambria Math" w:eastAsia="Microsoft Sans Serif" w:hAnsi="Cambria Math" w:cs="Microsoft Sans Serif"/>
                                <w:i/>
                                <w:spacing w:val="1"/>
                                <w:sz w:val="18"/>
                                <w:szCs w:val="17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-1</m:t>
                            </m:r>
                          </m:sup>
                        </m:sSubSup>
                        <m:r>
                          <w:rPr>
                            <w:rFonts w:ascii="Cambria Math" w:eastAsia="Microsoft Sans Serif" w:hAnsi="Cambria Math" w:cs="Microsoft Sans Serif"/>
                            <w:spacing w:val="1"/>
                            <w:sz w:val="18"/>
                            <w:szCs w:val="17"/>
                          </w:rPr>
                          <m:t>(0.5)</m:t>
                        </m:r>
                      </m:e>
                      <m:e>
                        <m:r>
                          <w:rPr>
                            <w:rFonts w:ascii="Cambria Math" w:eastAsia="Microsoft Sans Serif" w:hAnsi="Cambria Math" w:cs="Microsoft Sans Serif"/>
                            <w:spacing w:val="1"/>
                            <w:sz w:val="18"/>
                            <w:szCs w:val="17"/>
                          </w:rPr>
                          <m:t>-</m:t>
                        </m:r>
                        <m:func>
                          <m:funcPr>
                            <m:ctrlPr>
                              <w:rPr>
                                <w:rFonts w:ascii="Cambria Math" w:eastAsia="Microsoft Sans Serif" w:hAnsi="Cambria Math" w:cs="Microsoft Sans Serif"/>
                                <w:i/>
                                <w:spacing w:val="1"/>
                                <w:sz w:val="18"/>
                                <w:szCs w:val="17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log</m:t>
                            </m:r>
                          </m:fName>
                          <m:e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eastAsia="Microsoft Sans Serif" w:hAnsi="Cambria Math" w:cs="Microsoft Sans Serif"/>
                                    <w:i/>
                                    <w:spacing w:val="1"/>
                                    <w:sz w:val="18"/>
                                    <w:szCs w:val="17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Microsoft Sans Serif" w:hAnsi="Cambria Math" w:cs="Microsoft Sans Serif"/>
                                    <w:spacing w:val="1"/>
                                    <w:sz w:val="18"/>
                                    <w:szCs w:val="17"/>
                                  </w:rPr>
                                  <m:t>2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="Microsoft Sans Serif" w:hAnsi="Cambria Math" w:cs="Microsoft Sans Serif"/>
                                        <w:i/>
                                        <w:spacing w:val="1"/>
                                        <w:sz w:val="18"/>
                                        <w:szCs w:val="17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Microsoft Sans Serif" w:hAnsi="Cambria Math" w:cs="Microsoft Sans Serif"/>
                                        <w:spacing w:val="1"/>
                                        <w:sz w:val="18"/>
                                        <w:szCs w:val="17"/>
                                      </w:rPr>
                                      <m:t>1-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="Microsoft Sans Serif" w:hAnsi="Cambria Math" w:cs="Microsoft Sans Serif"/>
                                            <w:i/>
                                            <w:spacing w:val="1"/>
                                            <w:sz w:val="18"/>
                                            <w:szCs w:val="17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="Microsoft Sans Serif" w:hAnsi="Cambria Math" w:cs="Microsoft Sans Serif"/>
                                            <w:spacing w:val="1"/>
                                            <w:sz w:val="18"/>
                                            <w:szCs w:val="17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="Microsoft Sans Serif" w:hAnsi="Cambria Math" w:cs="Microsoft Sans Serif"/>
                                            <w:spacing w:val="1"/>
                                            <w:sz w:val="18"/>
                                            <w:szCs w:val="17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Microsoft Sans Serif" w:hAnsi="Cambria Math" w:cs="Microsoft Sans Serif"/>
                                            <w:i/>
                                            <w:spacing w:val="1"/>
                                            <w:sz w:val="18"/>
                                            <w:szCs w:val="17"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="Microsoft Sans Serif" w:hAnsi="Cambria Math" w:cs="Microsoft Sans Serif"/>
                                                <w:i/>
                                                <w:spacing w:val="1"/>
                                                <w:sz w:val="18"/>
                                                <w:szCs w:val="17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="Microsoft Sans Serif" w:hAnsi="Cambria Math" w:cs="Microsoft Sans Serif"/>
                                                <w:spacing w:val="1"/>
                                                <w:sz w:val="18"/>
                                                <w:szCs w:val="17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="Microsoft Sans Serif" w:hAnsi="Cambria Math" w:cs="Microsoft Sans Serif"/>
                                                <w:spacing w:val="1"/>
                                                <w:sz w:val="18"/>
                                                <w:szCs w:val="17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</m:d>
                              </m:e>
                            </m:d>
                          </m:e>
                        </m:func>
                        <m:r>
                          <w:rPr>
                            <w:rFonts w:ascii="Cambria Math" w:eastAsia="Microsoft Sans Serif" w:hAnsi="Cambria Math" w:cs="Microsoft Sans Serif"/>
                            <w:spacing w:val="1"/>
                            <w:sz w:val="18"/>
                            <w:szCs w:val="17"/>
                          </w:rPr>
                          <m:t xml:space="preserve"> for </m:t>
                        </m:r>
                        <m:sSub>
                          <m:sSubPr>
                            <m:ctrlPr>
                              <w:rPr>
                                <w:rFonts w:ascii="Cambria Math" w:eastAsia="Microsoft Sans Serif" w:hAnsi="Cambria Math" w:cs="Microsoft Sans Serif"/>
                                <w:i/>
                                <w:spacing w:val="1"/>
                                <w:sz w:val="18"/>
                                <w:szCs w:val="17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Microsoft Sans Serif" w:hAnsi="Cambria Math" w:cs="Microsoft Sans Serif"/>
                            <w:spacing w:val="1"/>
                            <w:sz w:val="18"/>
                            <w:szCs w:val="17"/>
                          </w:rPr>
                          <m:t>≥</m:t>
                        </m:r>
                        <m:sSubSup>
                          <m:sSubSupPr>
                            <m:ctrlPr>
                              <w:rPr>
                                <w:rFonts w:ascii="Cambria Math" w:eastAsia="Microsoft Sans Serif" w:hAnsi="Cambria Math" w:cs="Microsoft Sans Serif"/>
                                <w:i/>
                                <w:spacing w:val="1"/>
                                <w:sz w:val="18"/>
                                <w:szCs w:val="17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-1</m:t>
                            </m:r>
                          </m:sup>
                        </m:sSubSup>
                        <m:r>
                          <w:rPr>
                            <w:rFonts w:ascii="Cambria Math" w:eastAsia="Microsoft Sans Serif" w:hAnsi="Cambria Math" w:cs="Microsoft Sans Serif"/>
                            <w:spacing w:val="1"/>
                            <w:sz w:val="18"/>
                            <w:szCs w:val="17"/>
                          </w:rPr>
                          <m:t>(0.5)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300" w:type="pct"/>
            <w:vAlign w:val="center"/>
          </w:tcPr>
          <w:p w14:paraId="20A9C1A4" w14:textId="62953429" w:rsidR="00A345E9" w:rsidRPr="00B728DE" w:rsidRDefault="00A345E9" w:rsidP="00BB1593">
            <w:pPr>
              <w:pStyle w:val="Caption"/>
              <w:keepNext/>
              <w:jc w:val="center"/>
            </w:pPr>
            <w:r>
              <w:t>(</w:t>
            </w:r>
            <w:r w:rsidR="00315241">
              <w:t>3)</w:t>
            </w:r>
          </w:p>
        </w:tc>
      </w:tr>
    </w:tbl>
    <w:p w14:paraId="0419DCC1" w14:textId="77777777" w:rsidR="00602B8C" w:rsidRDefault="00602B8C" w:rsidP="00602B8C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6BB3B65A" w14:textId="77777777" w:rsidR="00914167" w:rsidRDefault="00315241" w:rsidP="00602B8C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602B8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Where Yi </w:t>
      </w:r>
      <w:r w:rsidR="00F057C7" w:rsidRPr="00602B8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has </w:t>
      </w:r>
      <w:r w:rsidR="00602B8C" w:rsidRPr="00602B8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Laplace</w:t>
      </w:r>
      <w:r w:rsidR="00F057C7" w:rsidRPr="00602B8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marginal distributions</w:t>
      </w:r>
      <w:r w:rsidR="000D2845" w:rsidRPr="00602B8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The </w:t>
      </w:r>
      <w:r w:rsidR="00602B8C" w:rsidRPr="00602B8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dependence model </w:t>
      </w:r>
      <w:r w:rsidR="00C55334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is</w:t>
      </w:r>
      <w:r w:rsidR="0091416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the following:</w:t>
      </w:r>
    </w:p>
    <w:p w14:paraId="66839FC5" w14:textId="77777777" w:rsidR="00914167" w:rsidRDefault="00914167" w:rsidP="00602B8C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"/>
        <w:gridCol w:w="3879"/>
        <w:gridCol w:w="417"/>
      </w:tblGrid>
      <w:tr w:rsidR="00914167" w14:paraId="60C09200" w14:textId="77777777" w:rsidTr="00BB1593">
        <w:tc>
          <w:tcPr>
            <w:tcW w:w="350" w:type="pct"/>
          </w:tcPr>
          <w:p w14:paraId="780D201C" w14:textId="77777777" w:rsidR="00914167" w:rsidRDefault="00914167" w:rsidP="00BB1593">
            <w:pPr>
              <w:jc w:val="both"/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7"/>
              </w:rPr>
            </w:pPr>
          </w:p>
        </w:tc>
        <w:tc>
          <w:tcPr>
            <w:tcW w:w="4300" w:type="pct"/>
            <w:vAlign w:val="center"/>
          </w:tcPr>
          <w:p w14:paraId="2A95C903" w14:textId="1DC314AE" w:rsidR="00507F8E" w:rsidRDefault="00914167" w:rsidP="00507F8E">
            <w:pPr>
              <w:jc w:val="center"/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7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icrosoft Sans Serif" w:hAnsi="Cambria Math" w:cs="Microsoft Sans Serif"/>
                        <w:i/>
                        <w:spacing w:val="1"/>
                        <w:sz w:val="18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Y</m:t>
                    </m:r>
                  </m:e>
                  <m:sub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-</m:t>
                    </m:r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i</m:t>
                    </m:r>
                  </m:sub>
                </m:sSub>
                <m:r>
                  <w:rPr>
                    <w:rFonts w:ascii="Cambria Math" w:eastAsia="Microsoft Sans Serif" w:hAnsi="Cambria Math" w:cs="Microsoft Sans Serif"/>
                    <w:spacing w:val="1"/>
                    <w:sz w:val="18"/>
                    <w:szCs w:val="17"/>
                  </w:rPr>
                  <m:t>=</m:t>
                </m:r>
                <m:sSub>
                  <m:sSubPr>
                    <m:ctrlPr>
                      <w:rPr>
                        <w:rFonts w:ascii="Cambria Math" w:eastAsia="Microsoft Sans Serif" w:hAnsi="Cambria Math" w:cs="Microsoft Sans Serif"/>
                        <w:i/>
                        <w:spacing w:val="1"/>
                        <w:sz w:val="18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α</m:t>
                    </m:r>
                  </m:e>
                  <m:sub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Microsoft Sans Serif" w:hAnsi="Cambria Math" w:cs="Microsoft Sans Serif"/>
                        <w:i/>
                        <w:spacing w:val="1"/>
                        <w:sz w:val="18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Y</m:t>
                    </m:r>
                  </m:e>
                  <m:sub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i</m:t>
                    </m:r>
                  </m:sub>
                </m:sSub>
                <m:r>
                  <w:rPr>
                    <w:rFonts w:ascii="Cambria Math" w:eastAsia="Microsoft Sans Serif" w:hAnsi="Cambria Math" w:cs="Microsoft Sans Serif"/>
                    <w:spacing w:val="1"/>
                    <w:sz w:val="18"/>
                    <w:szCs w:val="17"/>
                  </w:rPr>
                  <m:t>+</m:t>
                </m:r>
                <m:sSup>
                  <m:sSupPr>
                    <m:ctrlPr>
                      <w:rPr>
                        <w:rFonts w:ascii="Cambria Math" w:eastAsia="Microsoft Sans Serif" w:hAnsi="Cambria Math" w:cs="Microsoft Sans Serif"/>
                        <w:i/>
                        <w:spacing w:val="1"/>
                        <w:sz w:val="18"/>
                        <w:szCs w:val="17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Microsoft Sans Serif" w:hAnsi="Cambria Math" w:cs="Microsoft Sans Serif"/>
                            <w:i/>
                            <w:spacing w:val="1"/>
                            <w:sz w:val="18"/>
                            <w:szCs w:val="17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Microsoft Sans Serif" w:hAnsi="Cambria Math" w:cs="Microsoft Sans Serif"/>
                                <w:i/>
                                <w:spacing w:val="1"/>
                                <w:sz w:val="18"/>
                                <w:szCs w:val="17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eastAsia="Microsoft Sans Serif" w:hAnsi="Cambria Math" w:cs="Microsoft Sans Serif"/>
                            <w:i/>
                            <w:spacing w:val="1"/>
                            <w:sz w:val="18"/>
                            <w:szCs w:val="17"/>
                          </w:rPr>
                        </m:ctrlPr>
                      </m:sSubPr>
                      <m:e>
                        <m:r>
                          <w:rPr>
                            <w:rFonts w:ascii="Cambria Math" w:eastAsia="Microsoft Sans Serif" w:hAnsi="Cambria Math" w:cs="Microsoft Sans Serif"/>
                            <w:spacing w:val="1"/>
                            <w:sz w:val="18"/>
                            <w:szCs w:val="17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="Microsoft Sans Serif" w:hAnsi="Cambria Math" w:cs="Microsoft Sans Serif"/>
                            <w:spacing w:val="1"/>
                            <w:sz w:val="18"/>
                            <w:szCs w:val="17"/>
                          </w:rPr>
                          <m:t>i</m:t>
                        </m:r>
                      </m:sub>
                    </m:sSub>
                  </m:sup>
                </m:sSup>
                <m:sSub>
                  <m:sSubPr>
                    <m:ctrlPr>
                      <w:rPr>
                        <w:rFonts w:ascii="Cambria Math" w:eastAsia="Microsoft Sans Serif" w:hAnsi="Cambria Math" w:cs="Microsoft Sans Serif"/>
                        <w:i/>
                        <w:spacing w:val="1"/>
                        <w:sz w:val="18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Z</m:t>
                    </m:r>
                  </m:e>
                  <m:sub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|i</m:t>
                    </m:r>
                  </m:sub>
                </m:sSub>
              </m:oMath>
            </m:oMathPara>
          </w:p>
        </w:tc>
        <w:tc>
          <w:tcPr>
            <w:tcW w:w="4300" w:type="pct"/>
            <w:vAlign w:val="center"/>
          </w:tcPr>
          <w:p w14:paraId="4F4D3A40" w14:textId="67A8C52C" w:rsidR="00914167" w:rsidRPr="00B728DE" w:rsidRDefault="00914167" w:rsidP="00BB1593">
            <w:pPr>
              <w:pStyle w:val="Caption"/>
              <w:keepNext/>
              <w:jc w:val="center"/>
            </w:pPr>
            <w:r>
              <w:t>(</w:t>
            </w:r>
            <w:r>
              <w:t>4</w:t>
            </w:r>
            <w:r>
              <w:t>)</w:t>
            </w:r>
          </w:p>
        </w:tc>
      </w:tr>
    </w:tbl>
    <w:p w14:paraId="412629C4" w14:textId="5FFD170C" w:rsidR="00EE52C0" w:rsidRDefault="00EE52C0" w:rsidP="00602B8C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01182106" w14:textId="2345222B" w:rsidR="00507F8E" w:rsidRDefault="00507F8E" w:rsidP="00602B8C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Where, Z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bscript"/>
        </w:rPr>
        <w:t>|</w:t>
      </w:r>
      <w:r w:rsidR="00385F9A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bscript"/>
        </w:rPr>
        <w:t>I</w:t>
      </w:r>
      <w:r w:rsidR="00385F9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is a d-1 dimensional random variable with distribution function G</w:t>
      </w:r>
      <w:r w:rsidR="00385F9A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bscript"/>
        </w:rPr>
        <w:t>|I</w:t>
      </w:r>
      <w:r w:rsidR="00385F9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is independent of Y</w:t>
      </w:r>
      <w:r w:rsidR="00385F9A">
        <w:rPr>
          <w:rFonts w:ascii="Microsoft Sans Serif" w:eastAsia="Microsoft Sans Serif" w:hAnsi="Microsoft Sans Serif" w:cs="Microsoft Sans Serif"/>
          <w:spacing w:val="1"/>
          <w:sz w:val="18"/>
          <w:szCs w:val="17"/>
          <w:vertAlign w:val="subscript"/>
        </w:rPr>
        <w:t>i</w:t>
      </w:r>
      <w:r w:rsidR="00DD6CE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</w:p>
    <w:p w14:paraId="634923B7" w14:textId="77777777" w:rsidR="00824D71" w:rsidRDefault="00824D71" w:rsidP="00602B8C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0739183C" w14:textId="7500665F" w:rsidR="00824D71" w:rsidRDefault="0037733E" w:rsidP="00602B8C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20"/>
          <w:szCs w:val="18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</w:t>
      </w:r>
      <w:r w:rsidR="009903A6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he empirical joint distribution function G</w:t>
      </w:r>
      <w:r w:rsidR="009903A6">
        <w:rPr>
          <w:rFonts w:ascii="Microsoft Sans Serif" w:eastAsia="Microsoft Sans Serif" w:hAnsi="Microsoft Sans Serif" w:cs="Microsoft Sans Serif"/>
          <w:spacing w:val="1"/>
          <w:sz w:val="20"/>
          <w:szCs w:val="18"/>
          <w:vertAlign w:val="subscript"/>
        </w:rPr>
        <w:t>|I</w:t>
      </w:r>
      <w:r w:rsidR="009903A6">
        <w:rPr>
          <w:rFonts w:ascii="Microsoft Sans Serif" w:eastAsia="Microsoft Sans Serif" w:hAnsi="Microsoft Sans Serif" w:cs="Microsoft Sans Serif"/>
          <w:spacing w:val="1"/>
          <w:sz w:val="20"/>
          <w:szCs w:val="18"/>
        </w:rPr>
        <w:t xml:space="preserve"> is estimated nonparametrically using the empirical </w:t>
      </w:r>
      <w:r w:rsidR="00A116FA">
        <w:rPr>
          <w:rFonts w:ascii="Microsoft Sans Serif" w:eastAsia="Microsoft Sans Serif" w:hAnsi="Microsoft Sans Serif" w:cs="Microsoft Sans Serif"/>
          <w:spacing w:val="1"/>
          <w:sz w:val="20"/>
          <w:szCs w:val="18"/>
        </w:rPr>
        <w:t>joint distribution of observations</w:t>
      </w:r>
      <w:r w:rsidR="00422288">
        <w:rPr>
          <w:rFonts w:ascii="Microsoft Sans Serif" w:eastAsia="Microsoft Sans Serif" w:hAnsi="Microsoft Sans Serif" w:cs="Microsoft Sans Serif"/>
          <w:spacing w:val="1"/>
          <w:sz w:val="20"/>
          <w:szCs w:val="18"/>
        </w:rPr>
        <w:t xml:space="preserve"> available</w:t>
      </w:r>
      <w:r>
        <w:rPr>
          <w:rFonts w:ascii="Microsoft Sans Serif" w:eastAsia="Microsoft Sans Serif" w:hAnsi="Microsoft Sans Serif" w:cs="Microsoft Sans Serif"/>
          <w:spacing w:val="1"/>
          <w:sz w:val="20"/>
          <w:szCs w:val="18"/>
        </w:rPr>
        <w:t xml:space="preserve"> following eq. (5)</w:t>
      </w:r>
    </w:p>
    <w:p w14:paraId="44893336" w14:textId="77777777" w:rsidR="00A116FA" w:rsidRDefault="00A116FA" w:rsidP="00602B8C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20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"/>
        <w:gridCol w:w="3879"/>
        <w:gridCol w:w="417"/>
      </w:tblGrid>
      <w:tr w:rsidR="00A116FA" w14:paraId="3640E6EF" w14:textId="77777777" w:rsidTr="00BB1593">
        <w:tc>
          <w:tcPr>
            <w:tcW w:w="350" w:type="pct"/>
          </w:tcPr>
          <w:p w14:paraId="5AD177CC" w14:textId="77777777" w:rsidR="00A116FA" w:rsidRDefault="00A116FA" w:rsidP="00BB1593">
            <w:pPr>
              <w:jc w:val="both"/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7"/>
              </w:rPr>
            </w:pPr>
          </w:p>
        </w:tc>
        <w:tc>
          <w:tcPr>
            <w:tcW w:w="4300" w:type="pct"/>
            <w:vAlign w:val="center"/>
          </w:tcPr>
          <w:p w14:paraId="30EDA407" w14:textId="53E8F65C" w:rsidR="00A116FA" w:rsidRDefault="00042236" w:rsidP="00BB1593">
            <w:pPr>
              <w:jc w:val="center"/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7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icrosoft Sans Serif" w:hAnsi="Cambria Math" w:cs="Microsoft Sans Serif"/>
                        <w:i/>
                        <w:spacing w:val="1"/>
                        <w:sz w:val="18"/>
                        <w:szCs w:val="17"/>
                      </w:rPr>
                    </m:ctrlPr>
                  </m:sSubPr>
                  <m:e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Z</m:t>
                    </m:r>
                  </m:e>
                  <m:sub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|i</m:t>
                    </m:r>
                  </m:sub>
                </m:sSub>
                <m:r>
                  <w:rPr>
                    <w:rFonts w:ascii="Cambria Math" w:eastAsia="Microsoft Sans Serif" w:hAnsi="Cambria Math" w:cs="Microsoft Sans Serif"/>
                    <w:spacing w:val="1"/>
                    <w:sz w:val="18"/>
                    <w:szCs w:val="17"/>
                  </w:rPr>
                  <m:t>=</m:t>
                </m:r>
                <m:f>
                  <m:fPr>
                    <m:ctrlPr>
                      <w:rPr>
                        <w:rFonts w:ascii="Cambria Math" w:eastAsia="Microsoft Sans Serif" w:hAnsi="Cambria Math" w:cs="Microsoft Sans Serif"/>
                        <w:i/>
                        <w:spacing w:val="1"/>
                        <w:sz w:val="18"/>
                        <w:szCs w:val="17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icrosoft Sans Serif" w:hAnsi="Cambria Math" w:cs="Microsoft Sans Serif"/>
                            <w:i/>
                            <w:spacing w:val="1"/>
                            <w:sz w:val="18"/>
                            <w:szCs w:val="17"/>
                          </w:rPr>
                        </m:ctrlPr>
                      </m:sSubPr>
                      <m:e>
                        <m:r>
                          <w:rPr>
                            <w:rFonts w:ascii="Cambria Math" w:eastAsia="Microsoft Sans Serif" w:hAnsi="Cambria Math" w:cs="Microsoft Sans Serif"/>
                            <w:spacing w:val="1"/>
                            <w:sz w:val="18"/>
                            <w:szCs w:val="17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Microsoft Sans Serif" w:hAnsi="Cambria Math" w:cs="Microsoft Sans Serif"/>
                            <w:spacing w:val="1"/>
                            <w:sz w:val="18"/>
                            <w:szCs w:val="17"/>
                          </w:rPr>
                          <m:t>-i</m:t>
                        </m:r>
                      </m:sub>
                    </m:sSub>
                    <m:r>
                      <w:rPr>
                        <w:rFonts w:ascii="Cambria Math" w:eastAsia="Microsoft Sans Serif" w:hAnsi="Cambria Math" w:cs="Microsoft Sans Serif"/>
                        <w:spacing w:val="1"/>
                        <w:sz w:val="18"/>
                        <w:szCs w:val="17"/>
                      </w:rPr>
                      <m:t>-</m:t>
                    </m:r>
                    <m:acc>
                      <m:accPr>
                        <m:ctrlPr>
                          <w:rPr>
                            <w:rFonts w:ascii="Cambria Math" w:eastAsia="Microsoft Sans Serif" w:hAnsi="Cambria Math" w:cs="Microsoft Sans Serif"/>
                            <w:i/>
                            <w:spacing w:val="1"/>
                            <w:sz w:val="18"/>
                            <w:szCs w:val="17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eastAsia="Microsoft Sans Serif" w:hAnsi="Cambria Math" w:cs="Microsoft Sans Serif"/>
                                <w:i/>
                                <w:spacing w:val="1"/>
                                <w:sz w:val="18"/>
                                <w:szCs w:val="17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="Microsoft Sans Serif" w:hAnsi="Cambria Math" w:cs="Microsoft Sans Serif"/>
                                <w:spacing w:val="1"/>
                                <w:sz w:val="18"/>
                                <w:szCs w:val="17"/>
                              </w:rPr>
                              <m:t>i</m:t>
                            </m:r>
                          </m:sub>
                        </m:sSub>
                      </m:e>
                    </m:acc>
                    <m:sSub>
                      <m:sSubPr>
                        <m:ctrlPr>
                          <w:rPr>
                            <w:rFonts w:ascii="Cambria Math" w:eastAsia="Microsoft Sans Serif" w:hAnsi="Cambria Math" w:cs="Microsoft Sans Serif"/>
                            <w:i/>
                            <w:spacing w:val="1"/>
                            <w:sz w:val="18"/>
                            <w:szCs w:val="17"/>
                          </w:rPr>
                        </m:ctrlPr>
                      </m:sSubPr>
                      <m:e>
                        <m:r>
                          <w:rPr>
                            <w:rFonts w:ascii="Cambria Math" w:eastAsia="Microsoft Sans Serif" w:hAnsi="Cambria Math" w:cs="Microsoft Sans Serif"/>
                            <w:spacing w:val="1"/>
                            <w:sz w:val="18"/>
                            <w:szCs w:val="17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Microsoft Sans Serif" w:hAnsi="Cambria Math" w:cs="Microsoft Sans Serif"/>
                            <w:spacing w:val="1"/>
                            <w:sz w:val="18"/>
                            <w:szCs w:val="17"/>
                          </w:rPr>
                          <m:t>i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eastAsia="Microsoft Sans Serif" w:hAnsi="Cambria Math" w:cs="Microsoft Sans Serif"/>
                            <w:i/>
                            <w:spacing w:val="1"/>
                            <w:sz w:val="18"/>
                            <w:szCs w:val="17"/>
                          </w:rPr>
                        </m:ctrlPr>
                      </m:sSubSupPr>
                      <m:e>
                        <m:r>
                          <w:rPr>
                            <w:rFonts w:ascii="Cambria Math" w:eastAsia="Microsoft Sans Serif" w:hAnsi="Cambria Math" w:cs="Microsoft Sans Serif"/>
                            <w:spacing w:val="1"/>
                            <w:sz w:val="18"/>
                            <w:szCs w:val="17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Microsoft Sans Serif" w:hAnsi="Cambria Math" w:cs="Microsoft Sans Serif"/>
                            <w:spacing w:val="1"/>
                            <w:sz w:val="18"/>
                            <w:szCs w:val="17"/>
                          </w:rPr>
                          <m:t>i</m:t>
                        </m:r>
                      </m:sub>
                      <m:sup>
                        <m:acc>
                          <m:accPr>
                            <m:ctrlPr>
                              <w:rPr>
                                <w:rFonts w:ascii="Cambria Math" w:eastAsia="Microsoft Sans Serif" w:hAnsi="Cambria Math" w:cs="Microsoft Sans Serif"/>
                                <w:i/>
                                <w:spacing w:val="1"/>
                                <w:sz w:val="18"/>
                                <w:szCs w:val="17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Microsoft Sans Serif" w:hAnsi="Cambria Math" w:cs="Microsoft Sans Serif"/>
                                    <w:i/>
                                    <w:spacing w:val="1"/>
                                    <w:sz w:val="18"/>
                                    <w:szCs w:val="17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Microsoft Sans Serif" w:hAnsi="Cambria Math" w:cs="Microsoft Sans Serif"/>
                                    <w:spacing w:val="1"/>
                                    <w:sz w:val="18"/>
                                    <w:szCs w:val="17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icrosoft Sans Serif" w:hAnsi="Cambria Math" w:cs="Microsoft Sans Serif"/>
                                    <w:spacing w:val="1"/>
                                    <w:sz w:val="18"/>
                                    <w:szCs w:val="17"/>
                                  </w:rPr>
                                  <m:t>i</m:t>
                                </m:r>
                              </m:sub>
                            </m:sSub>
                          </m:e>
                        </m:acc>
                      </m:sup>
                    </m:sSubSup>
                  </m:den>
                </m:f>
              </m:oMath>
            </m:oMathPara>
          </w:p>
        </w:tc>
        <w:tc>
          <w:tcPr>
            <w:tcW w:w="4300" w:type="pct"/>
            <w:vAlign w:val="center"/>
          </w:tcPr>
          <w:p w14:paraId="27BA6EFF" w14:textId="1AA30A96" w:rsidR="00A116FA" w:rsidRPr="00B728DE" w:rsidRDefault="00A116FA" w:rsidP="00BB1593">
            <w:pPr>
              <w:pStyle w:val="Caption"/>
              <w:keepNext/>
              <w:jc w:val="center"/>
            </w:pPr>
            <w:r>
              <w:t>(</w:t>
            </w:r>
            <w:r w:rsidR="00A00387">
              <w:t>5</w:t>
            </w:r>
            <w:r>
              <w:t>)</w:t>
            </w:r>
          </w:p>
        </w:tc>
      </w:tr>
    </w:tbl>
    <w:p w14:paraId="3621E3B1" w14:textId="77777777" w:rsidR="00A116FA" w:rsidRDefault="00A116FA" w:rsidP="00602B8C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20"/>
          <w:szCs w:val="18"/>
        </w:rPr>
      </w:pPr>
    </w:p>
    <w:p w14:paraId="3F93773F" w14:textId="649F64A9" w:rsidR="0037733E" w:rsidRPr="000B1CA3" w:rsidRDefault="00B109DD" w:rsidP="00602B8C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0B1CA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After inversion of the Laplace transforms. </w:t>
      </w:r>
      <w:r w:rsidR="0037733E" w:rsidRPr="000B1CA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</w:t>
      </w:r>
      <w:r w:rsidR="000E17E2" w:rsidRPr="000B1CA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environmental contour establishment can be </w:t>
      </w:r>
      <w:r w:rsidRPr="000B1CA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drawn</w:t>
      </w:r>
      <w:r w:rsidR="008E5799" w:rsidRPr="000B1CA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allowing for interpretation of the </w:t>
      </w:r>
      <w:r w:rsidR="00804877" w:rsidRPr="000B1CA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relevant risk levels associated </w:t>
      </w:r>
      <w:r w:rsidR="0019085F" w:rsidRPr="000B1CA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with </w:t>
      </w:r>
      <w:r w:rsidR="00220F9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given probability level.</w:t>
      </w:r>
    </w:p>
    <w:p w14:paraId="6F6C27F0" w14:textId="77777777" w:rsidR="00824D71" w:rsidRPr="00385F9A" w:rsidRDefault="00824D71" w:rsidP="00602B8C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4B553422" w14:textId="44B10548" w:rsidR="00FA1E68" w:rsidRPr="005D4133" w:rsidRDefault="0080034C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b/>
          <w:bCs/>
          <w:spacing w:val="1"/>
          <w:w w:val="102"/>
          <w:sz w:val="20"/>
          <w:szCs w:val="18"/>
        </w:rPr>
      </w:pPr>
      <w:r w:rsidRPr="005D4133">
        <w:rPr>
          <w:rFonts w:ascii="Microsoft Sans Serif" w:eastAsia="Microsoft Sans Serif" w:hAnsi="Microsoft Sans Serif" w:cs="Microsoft Sans Serif"/>
          <w:b/>
          <w:bCs/>
          <w:spacing w:val="1"/>
          <w:w w:val="102"/>
          <w:sz w:val="20"/>
          <w:szCs w:val="18"/>
        </w:rPr>
        <w:t>Conclusion</w:t>
      </w:r>
    </w:p>
    <w:p w14:paraId="2EFBF6DB" w14:textId="7207B98D" w:rsidR="00B83B67" w:rsidRDefault="00086E48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w w:val="102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This abstract outline</w:t>
      </w:r>
      <w:r w:rsidR="005D4133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a brief overview of the theory, methodology and timeseries utilized for </w:t>
      </w:r>
      <w:r w:rsidR="00762DDC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establishing </w:t>
      </w:r>
      <w:r w:rsidR="005D4133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environmental contours for high return period values ranging from Tr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= {</w:t>
      </w:r>
      <w:r w:rsidR="005D4133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5, 10, 50 ,100} years.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2147428794"/>
        <w:docPartObj>
          <w:docPartGallery w:val="Bibliographies"/>
          <w:docPartUnique/>
        </w:docPartObj>
      </w:sdtPr>
      <w:sdtEndP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sdtEndPr>
      <w:sdtContent>
        <w:p w14:paraId="6BE5C7FE" w14:textId="1F4BF4F0" w:rsidR="008A73FE" w:rsidRPr="008A73FE" w:rsidRDefault="008A73FE">
          <w:pPr>
            <w:pStyle w:val="Heading1"/>
            <w:rPr>
              <w:rFonts w:ascii="Microsoft Sans Serif" w:eastAsia="Microsoft Sans Serif" w:hAnsi="Microsoft Sans Serif" w:cs="Microsoft Sans Serif"/>
              <w:b/>
              <w:bCs/>
              <w:color w:val="auto"/>
              <w:spacing w:val="1"/>
              <w:w w:val="102"/>
              <w:sz w:val="18"/>
              <w:szCs w:val="17"/>
            </w:rPr>
          </w:pPr>
          <w:r w:rsidRPr="008A73FE">
            <w:rPr>
              <w:rFonts w:ascii="Microsoft Sans Serif" w:eastAsia="Microsoft Sans Serif" w:hAnsi="Microsoft Sans Serif" w:cs="Microsoft Sans Serif"/>
              <w:b/>
              <w:bCs/>
              <w:color w:val="auto"/>
              <w:spacing w:val="1"/>
              <w:w w:val="102"/>
              <w:sz w:val="18"/>
              <w:szCs w:val="17"/>
            </w:rPr>
            <w:t>References</w:t>
          </w:r>
        </w:p>
        <w:sdt>
          <w:sdtPr>
            <w:id w:val="-573587230"/>
            <w:bibliography/>
          </w:sdtPr>
          <w:sdtEndPr>
            <w:rPr>
              <w:rFonts w:ascii="Microsoft Sans Serif" w:eastAsia="Microsoft Sans Serif" w:hAnsi="Microsoft Sans Serif" w:cs="Microsoft Sans Serif"/>
              <w:spacing w:val="1"/>
              <w:sz w:val="18"/>
              <w:szCs w:val="17"/>
            </w:rPr>
          </w:sdtEndPr>
          <w:sdtContent>
            <w:p w14:paraId="7299A101" w14:textId="77777777" w:rsidR="00EA3F88" w:rsidRDefault="008A73FE" w:rsidP="00EA3F88">
              <w:pPr>
                <w:pStyle w:val="Bibliography"/>
                <w:ind w:left="720" w:hanging="720"/>
                <w:rPr>
                  <w:noProof/>
                  <w:sz w:val="24"/>
                  <w:szCs w:val="24"/>
                </w:rPr>
              </w:pPr>
              <w:r w:rsidRPr="008A73FE">
                <w:rPr>
                  <w:rFonts w:ascii="Microsoft Sans Serif" w:eastAsia="Microsoft Sans Serif" w:hAnsi="Microsoft Sans Serif" w:cs="Microsoft Sans Serif"/>
                  <w:spacing w:val="1"/>
                  <w:sz w:val="18"/>
                  <w:szCs w:val="17"/>
                </w:rPr>
                <w:fldChar w:fldCharType="begin"/>
              </w:r>
              <w:r w:rsidRPr="008A73FE">
                <w:rPr>
                  <w:rFonts w:ascii="Microsoft Sans Serif" w:eastAsia="Microsoft Sans Serif" w:hAnsi="Microsoft Sans Serif" w:cs="Microsoft Sans Serif"/>
                  <w:spacing w:val="1"/>
                  <w:sz w:val="18"/>
                  <w:szCs w:val="17"/>
                </w:rPr>
                <w:instrText xml:space="preserve"> BIBLIOGRAPHY </w:instrText>
              </w:r>
              <w:r w:rsidRPr="008A73FE">
                <w:rPr>
                  <w:rFonts w:ascii="Microsoft Sans Serif" w:eastAsia="Microsoft Sans Serif" w:hAnsi="Microsoft Sans Serif" w:cs="Microsoft Sans Serif"/>
                  <w:spacing w:val="1"/>
                  <w:sz w:val="18"/>
                  <w:szCs w:val="17"/>
                </w:rPr>
                <w:fldChar w:fldCharType="separate"/>
              </w:r>
              <w:r w:rsidR="00EA3F88">
                <w:rPr>
                  <w:noProof/>
                </w:rPr>
                <w:t xml:space="preserve">2022, I. (2022). </w:t>
              </w:r>
              <w:r w:rsidR="00EA3F88">
                <w:rPr>
                  <w:i/>
                  <w:iCs/>
                  <w:noProof/>
                </w:rPr>
                <w:t>Climate Change 2022: Impacts, Adaptation, and Vulnerability. Contribution of Working Group II to the Sixth Assessment Report of the Intergovernmental Panel on Climate Change.</w:t>
              </w:r>
              <w:r w:rsidR="00EA3F88">
                <w:rPr>
                  <w:noProof/>
                </w:rPr>
                <w:t xml:space="preserve"> Cambridge University Press. In Press.</w:t>
              </w:r>
            </w:p>
            <w:p w14:paraId="0AC2921C" w14:textId="77777777" w:rsidR="00EA3F88" w:rsidRDefault="00EA3F88" w:rsidP="00EA3F88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Gringorten, I. I. (1963). A plotting rule for extreme probability paper. </w:t>
              </w:r>
              <w:r>
                <w:rPr>
                  <w:i/>
                  <w:iCs/>
                  <w:noProof/>
                </w:rPr>
                <w:t>Journal of Geophysical Research</w:t>
              </w:r>
              <w:r>
                <w:rPr>
                  <w:noProof/>
                </w:rPr>
                <w:t>, 813-814.</w:t>
              </w:r>
            </w:p>
            <w:p w14:paraId="656C01A1" w14:textId="77777777" w:rsidR="00EA3F88" w:rsidRDefault="00EA3F88" w:rsidP="00EA3F88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Hans Fabricius Hansen, D. R. (2020). Directional–seasonal extreme value analysis of North Sea storm conditions. </w:t>
              </w:r>
              <w:r>
                <w:rPr>
                  <w:i/>
                  <w:iCs/>
                  <w:noProof/>
                </w:rPr>
                <w:t>Ocean Engineering</w:t>
              </w:r>
              <w:r>
                <w:rPr>
                  <w:noProof/>
                </w:rPr>
                <w:t>.</w:t>
              </w:r>
            </w:p>
            <w:p w14:paraId="7B8765EF" w14:textId="77777777" w:rsidR="00EA3F88" w:rsidRDefault="00EA3F88" w:rsidP="00EA3F88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Janet E. heffernan, J. A. (2004). A Conditional Approach for Multivariate Extreme Values. </w:t>
              </w:r>
              <w:r>
                <w:rPr>
                  <w:i/>
                  <w:iCs/>
                  <w:noProof/>
                </w:rPr>
                <w:t>Journal of the Royal Statistical Society</w:t>
              </w:r>
              <w:r>
                <w:rPr>
                  <w:noProof/>
                </w:rPr>
                <w:t>, 497-546.</w:t>
              </w:r>
            </w:p>
            <w:p w14:paraId="55A68457" w14:textId="078357FC" w:rsidR="002C65C4" w:rsidRPr="008A73FE" w:rsidRDefault="008A73FE" w:rsidP="00EA3F88">
              <w:pPr>
                <w:spacing w:after="0" w:line="240" w:lineRule="auto"/>
                <w:jc w:val="both"/>
                <w:rPr>
                  <w:rFonts w:ascii="Microsoft Sans Serif" w:eastAsia="Microsoft Sans Serif" w:hAnsi="Microsoft Sans Serif" w:cs="Microsoft Sans Serif"/>
                  <w:spacing w:val="1"/>
                  <w:sz w:val="18"/>
                  <w:szCs w:val="17"/>
                </w:rPr>
              </w:pPr>
              <w:r w:rsidRPr="008A73FE">
                <w:rPr>
                  <w:rFonts w:ascii="Microsoft Sans Serif" w:eastAsia="Microsoft Sans Serif" w:hAnsi="Microsoft Sans Serif" w:cs="Microsoft Sans Serif"/>
                  <w:spacing w:val="1"/>
                  <w:sz w:val="18"/>
                  <w:szCs w:val="17"/>
                </w:rPr>
                <w:fldChar w:fldCharType="end"/>
              </w:r>
            </w:p>
          </w:sdtContent>
        </w:sdt>
      </w:sdtContent>
    </w:sdt>
    <w:sectPr w:rsidR="002C65C4" w:rsidRPr="008A73FE" w:rsidSect="00400773">
      <w:type w:val="continuous"/>
      <w:pgSz w:w="12240" w:h="15840" w:code="1"/>
      <w:pgMar w:top="1440" w:right="1021" w:bottom="1440" w:left="1021" w:header="709" w:footer="709" w:gutter="0"/>
      <w:cols w:num="2" w:space="708" w:equalWidth="0">
        <w:col w:w="4567" w:space="687"/>
        <w:col w:w="460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ED36C" w14:textId="77777777" w:rsidR="00953455" w:rsidRDefault="00953455" w:rsidP="0013413D">
      <w:pPr>
        <w:spacing w:after="0" w:line="240" w:lineRule="auto"/>
      </w:pPr>
      <w:r>
        <w:separator/>
      </w:r>
    </w:p>
  </w:endnote>
  <w:endnote w:type="continuationSeparator" w:id="0">
    <w:p w14:paraId="46E188D1" w14:textId="77777777" w:rsidR="00953455" w:rsidRDefault="00953455" w:rsidP="001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37CE" w14:textId="77777777" w:rsidR="00953455" w:rsidRDefault="00953455" w:rsidP="0013413D">
      <w:pPr>
        <w:spacing w:after="0" w:line="240" w:lineRule="auto"/>
      </w:pPr>
      <w:r>
        <w:separator/>
      </w:r>
    </w:p>
  </w:footnote>
  <w:footnote w:type="continuationSeparator" w:id="0">
    <w:p w14:paraId="1C1DBE56" w14:textId="77777777" w:rsidR="00953455" w:rsidRDefault="00953455" w:rsidP="00134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68"/>
    <w:rsid w:val="000341C4"/>
    <w:rsid w:val="00042236"/>
    <w:rsid w:val="000573E6"/>
    <w:rsid w:val="00062759"/>
    <w:rsid w:val="00081D8E"/>
    <w:rsid w:val="00086E48"/>
    <w:rsid w:val="000B1CA3"/>
    <w:rsid w:val="000D2845"/>
    <w:rsid w:val="000E1745"/>
    <w:rsid w:val="000E17E2"/>
    <w:rsid w:val="000F1969"/>
    <w:rsid w:val="000F3676"/>
    <w:rsid w:val="00116563"/>
    <w:rsid w:val="00120636"/>
    <w:rsid w:val="00121D76"/>
    <w:rsid w:val="0013413D"/>
    <w:rsid w:val="0013536E"/>
    <w:rsid w:val="00141975"/>
    <w:rsid w:val="00167E3B"/>
    <w:rsid w:val="00177F18"/>
    <w:rsid w:val="00184959"/>
    <w:rsid w:val="0019085F"/>
    <w:rsid w:val="001C31DE"/>
    <w:rsid w:val="001E0103"/>
    <w:rsid w:val="001E3D07"/>
    <w:rsid w:val="00211141"/>
    <w:rsid w:val="00220F9C"/>
    <w:rsid w:val="00254E34"/>
    <w:rsid w:val="002606AC"/>
    <w:rsid w:val="00265716"/>
    <w:rsid w:val="002673E3"/>
    <w:rsid w:val="00283687"/>
    <w:rsid w:val="002A0DF3"/>
    <w:rsid w:val="002A46C2"/>
    <w:rsid w:val="002C65C4"/>
    <w:rsid w:val="002D3FF3"/>
    <w:rsid w:val="00315241"/>
    <w:rsid w:val="003178F6"/>
    <w:rsid w:val="00317AB8"/>
    <w:rsid w:val="00354612"/>
    <w:rsid w:val="0037733E"/>
    <w:rsid w:val="0038096F"/>
    <w:rsid w:val="00380E38"/>
    <w:rsid w:val="003851C8"/>
    <w:rsid w:val="00385F9A"/>
    <w:rsid w:val="003A28CA"/>
    <w:rsid w:val="003B40DF"/>
    <w:rsid w:val="003C4A51"/>
    <w:rsid w:val="003F6C36"/>
    <w:rsid w:val="00400773"/>
    <w:rsid w:val="00422288"/>
    <w:rsid w:val="00435D44"/>
    <w:rsid w:val="0045193A"/>
    <w:rsid w:val="00464A50"/>
    <w:rsid w:val="004730A5"/>
    <w:rsid w:val="004770C5"/>
    <w:rsid w:val="004C4AE6"/>
    <w:rsid w:val="004D6436"/>
    <w:rsid w:val="004F0885"/>
    <w:rsid w:val="00507F8E"/>
    <w:rsid w:val="00524D73"/>
    <w:rsid w:val="005D4133"/>
    <w:rsid w:val="005F4070"/>
    <w:rsid w:val="00602B8C"/>
    <w:rsid w:val="00617E0D"/>
    <w:rsid w:val="0063776E"/>
    <w:rsid w:val="00657998"/>
    <w:rsid w:val="00674A0E"/>
    <w:rsid w:val="006A42A0"/>
    <w:rsid w:val="006A7203"/>
    <w:rsid w:val="006B02F8"/>
    <w:rsid w:val="006B2815"/>
    <w:rsid w:val="006D2688"/>
    <w:rsid w:val="006D293C"/>
    <w:rsid w:val="006D50ED"/>
    <w:rsid w:val="006E7A74"/>
    <w:rsid w:val="006E7B58"/>
    <w:rsid w:val="007101D9"/>
    <w:rsid w:val="0072430C"/>
    <w:rsid w:val="00751E9A"/>
    <w:rsid w:val="007601F1"/>
    <w:rsid w:val="00762DDC"/>
    <w:rsid w:val="00775EC5"/>
    <w:rsid w:val="007959EE"/>
    <w:rsid w:val="007A20CF"/>
    <w:rsid w:val="007A55E8"/>
    <w:rsid w:val="007C0012"/>
    <w:rsid w:val="007E1AD5"/>
    <w:rsid w:val="0080034C"/>
    <w:rsid w:val="00804877"/>
    <w:rsid w:val="0081024E"/>
    <w:rsid w:val="00813292"/>
    <w:rsid w:val="00824D71"/>
    <w:rsid w:val="00841DCC"/>
    <w:rsid w:val="00882592"/>
    <w:rsid w:val="008960D5"/>
    <w:rsid w:val="008966A8"/>
    <w:rsid w:val="008A39B9"/>
    <w:rsid w:val="008A4AE9"/>
    <w:rsid w:val="008A73FE"/>
    <w:rsid w:val="008B38CD"/>
    <w:rsid w:val="008B6510"/>
    <w:rsid w:val="008B6B75"/>
    <w:rsid w:val="008C3987"/>
    <w:rsid w:val="008E5799"/>
    <w:rsid w:val="0090308D"/>
    <w:rsid w:val="00911507"/>
    <w:rsid w:val="00914167"/>
    <w:rsid w:val="00924780"/>
    <w:rsid w:val="00931D1E"/>
    <w:rsid w:val="009448A0"/>
    <w:rsid w:val="00947CCB"/>
    <w:rsid w:val="00953455"/>
    <w:rsid w:val="00977636"/>
    <w:rsid w:val="009903A6"/>
    <w:rsid w:val="00996A43"/>
    <w:rsid w:val="009C21C4"/>
    <w:rsid w:val="009D70D0"/>
    <w:rsid w:val="009E7295"/>
    <w:rsid w:val="00A00387"/>
    <w:rsid w:val="00A116FA"/>
    <w:rsid w:val="00A12407"/>
    <w:rsid w:val="00A22191"/>
    <w:rsid w:val="00A2442E"/>
    <w:rsid w:val="00A345E9"/>
    <w:rsid w:val="00A37085"/>
    <w:rsid w:val="00A45505"/>
    <w:rsid w:val="00A536AB"/>
    <w:rsid w:val="00A83E07"/>
    <w:rsid w:val="00A84CD3"/>
    <w:rsid w:val="00A91B36"/>
    <w:rsid w:val="00A97878"/>
    <w:rsid w:val="00AA7FB3"/>
    <w:rsid w:val="00AC1A07"/>
    <w:rsid w:val="00AC4749"/>
    <w:rsid w:val="00AD75CD"/>
    <w:rsid w:val="00AE2CCB"/>
    <w:rsid w:val="00AF02CB"/>
    <w:rsid w:val="00B109DD"/>
    <w:rsid w:val="00B43A1B"/>
    <w:rsid w:val="00B60646"/>
    <w:rsid w:val="00B728DE"/>
    <w:rsid w:val="00B8022C"/>
    <w:rsid w:val="00B807EE"/>
    <w:rsid w:val="00B83B67"/>
    <w:rsid w:val="00C210BE"/>
    <w:rsid w:val="00C3151C"/>
    <w:rsid w:val="00C32821"/>
    <w:rsid w:val="00C34C79"/>
    <w:rsid w:val="00C426F0"/>
    <w:rsid w:val="00C43956"/>
    <w:rsid w:val="00C55334"/>
    <w:rsid w:val="00C61BEA"/>
    <w:rsid w:val="00C70FF7"/>
    <w:rsid w:val="00C732C3"/>
    <w:rsid w:val="00CB6749"/>
    <w:rsid w:val="00CC484A"/>
    <w:rsid w:val="00CD032A"/>
    <w:rsid w:val="00D36101"/>
    <w:rsid w:val="00D469AE"/>
    <w:rsid w:val="00D749BB"/>
    <w:rsid w:val="00D94EDB"/>
    <w:rsid w:val="00DA0538"/>
    <w:rsid w:val="00DA6704"/>
    <w:rsid w:val="00DD63FD"/>
    <w:rsid w:val="00DD6CE2"/>
    <w:rsid w:val="00DE052D"/>
    <w:rsid w:val="00DF4718"/>
    <w:rsid w:val="00E40532"/>
    <w:rsid w:val="00E57A39"/>
    <w:rsid w:val="00E60B8C"/>
    <w:rsid w:val="00E6538C"/>
    <w:rsid w:val="00EA3F88"/>
    <w:rsid w:val="00EE52C0"/>
    <w:rsid w:val="00F057C7"/>
    <w:rsid w:val="00F05D69"/>
    <w:rsid w:val="00F06782"/>
    <w:rsid w:val="00F12691"/>
    <w:rsid w:val="00F13900"/>
    <w:rsid w:val="00F13E9A"/>
    <w:rsid w:val="00F15A44"/>
    <w:rsid w:val="00F22F40"/>
    <w:rsid w:val="00F26721"/>
    <w:rsid w:val="00F30BC8"/>
    <w:rsid w:val="00F30E67"/>
    <w:rsid w:val="00F4432B"/>
    <w:rsid w:val="00F53AFB"/>
    <w:rsid w:val="00F56C17"/>
    <w:rsid w:val="00F831EC"/>
    <w:rsid w:val="00FA03E1"/>
    <w:rsid w:val="00FA1E68"/>
    <w:rsid w:val="00FA319F"/>
    <w:rsid w:val="00FA3FDC"/>
    <w:rsid w:val="00FA5BDC"/>
    <w:rsid w:val="00FB05D5"/>
    <w:rsid w:val="00FB238C"/>
    <w:rsid w:val="00FC2749"/>
    <w:rsid w:val="00FC517D"/>
    <w:rsid w:val="00FD0D1F"/>
    <w:rsid w:val="00FE0521"/>
    <w:rsid w:val="00FE310F"/>
    <w:rsid w:val="00FE5C0C"/>
    <w:rsid w:val="00FE6B7E"/>
    <w:rsid w:val="00FF01D2"/>
    <w:rsid w:val="00FF365A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71CF"/>
  <w15:docId w15:val="{3225928C-9F03-4E32-B40C-E74FD8AA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8A73FE"/>
    <w:pPr>
      <w:keepNext/>
      <w:keepLines/>
      <w:widowControl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5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3D"/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3D"/>
  </w:style>
  <w:style w:type="character" w:styleId="UnresolvedMention">
    <w:name w:val="Unresolved Mention"/>
    <w:basedOn w:val="DefaultParagraphFont"/>
    <w:uiPriority w:val="99"/>
    <w:semiHidden/>
    <w:unhideWhenUsed/>
    <w:rsid w:val="00B606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E3D07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B728DE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B7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3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8A73FE"/>
  </w:style>
  <w:style w:type="table" w:styleId="PlainTable4">
    <w:name w:val="Plain Table 4"/>
    <w:basedOn w:val="TableNormal"/>
    <w:uiPriority w:val="44"/>
    <w:rsid w:val="00081D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Han20</b:Tag>
    <b:SourceType>JournalArticle</b:SourceType>
    <b:Guid>{B85690A0-3141-4C6D-8EDA-272A2EB17EF5}</b:Guid>
    <b:Title>Directional–seasonal extreme value analysis of North Sea storm conditions</b:Title>
    <b:Year>2020</b:Year>
    <b:Author>
      <b:Author>
        <b:NameList>
          <b:Person>
            <b:Last>Hans Fabricius Hansen</b:Last>
            <b:First>David</b:First>
            <b:Middle>Randell, Allan Rod Zeeberg, Philip Jonathan</b:Middle>
          </b:Person>
        </b:NameList>
      </b:Author>
    </b:Author>
    <b:JournalName>Ocean Engineering</b:JournalName>
    <b:RefOrder>1</b:RefOrder>
  </b:Source>
  <b:Source>
    <b:Tag>Jan04</b:Tag>
    <b:SourceType>JournalArticle</b:SourceType>
    <b:Guid>{D6A85926-EA18-4E66-B8AF-EA5415D8307C}</b:Guid>
    <b:Title>A Conditional Approach for Multivariate Extreme Values</b:Title>
    <b:Year>2004</b:Year>
    <b:Author>
      <b:Author>
        <b:NameList>
          <b:Person>
            <b:Last>Janet E. heffernan</b:Last>
            <b:First>Jonathan</b:First>
            <b:Middle>A. Tawn</b:Middle>
          </b:Person>
        </b:NameList>
      </b:Author>
    </b:Author>
    <b:JournalName>Journal of the Royal Statistical Society</b:JournalName>
    <b:Pages>497-546</b:Pages>
    <b:RefOrder>2</b:RefOrder>
  </b:Source>
  <b:Source>
    <b:Tag>IIG63</b:Tag>
    <b:SourceType>JournalArticle</b:SourceType>
    <b:Guid>{D72E551B-FD48-4CA2-8004-7A402D9FB247}</b:Guid>
    <b:Author>
      <b:Author>
        <b:NameList>
          <b:Person>
            <b:Last>Gringorten</b:Last>
            <b:First>I.</b:First>
            <b:Middle>I.</b:Middle>
          </b:Person>
        </b:NameList>
      </b:Author>
    </b:Author>
    <b:Title>A plotting rule for extreme probability paper</b:Title>
    <b:JournalName>Journal of Geophysical Research</b:JournalName>
    <b:Year>1963</b:Year>
    <b:Pages>813-814</b:Pages>
    <b:RefOrder>3</b:RefOrder>
  </b:Source>
  <b:Source>
    <b:Tag>Car12</b:Tag>
    <b:SourceType>Book</b:SourceType>
    <b:Guid>{64CDD0A0-3383-46B0-A7E6-2171E2A9B1B9}</b:Guid>
    <b:Author>
      <b:Author>
        <b:NameList>
          <b:Person>
            <b:Last>Caroline Keef</b:Last>
            <b:First>Ioannis</b:First>
            <b:Middle>Papastathopoulos, Jonathan A. Tawn</b:Middle>
          </b:Person>
        </b:NameList>
      </b:Author>
    </b:Author>
    <b:Title>Estimation of the conditional distribution of a multivariate variable given that one of its components is large: Additional constraint for the Heffernan and Tawn model</b:Title>
    <b:Year>2012</b:Year>
    <b:City>North Yorkshire</b:City>
    <b:Publisher>Elsevier</b:Publisher>
    <b:RefOrder>4</b:RefOrder>
  </b:Source>
</b:Sources>
</file>

<file path=customXml/itemProps1.xml><?xml version="1.0" encoding="utf-8"?>
<ds:datastoreItem xmlns:ds="http://schemas.openxmlformats.org/officeDocument/2006/customXml" ds:itemID="{2CE68429-617A-4DF9-AAB3-13747043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2</Pages>
  <Words>873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ICCE2014_Abstract in Depth</vt:lpstr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ICCE2014_Abstract in Depth</dc:title>
  <dc:subject>Microsoft Word - ICCE2014_Abstract in Depth</dc:subject>
  <dc:creator>Berk Yumer</dc:creator>
  <cp:lastModifiedBy>Joachim bach</cp:lastModifiedBy>
  <cp:revision>193</cp:revision>
  <dcterms:created xsi:type="dcterms:W3CDTF">2022-04-06T10:50:00Z</dcterms:created>
  <dcterms:modified xsi:type="dcterms:W3CDTF">2022-09-02T11:41:00Z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LastSaved">
    <vt:filetime>2016-01-11T00:00:00Z</vt:filetime>
  </property>
</Properties>
</file>