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9.xml" ContentType="application/vnd.openxmlformats-officedocument.drawingml.chart+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000D" w14:textId="77777777" w:rsidR="00186583" w:rsidRPr="00186583" w:rsidRDefault="00186583" w:rsidP="00186583">
      <w:pPr>
        <w:jc w:val="center"/>
        <w:rPr>
          <w:rFonts w:ascii="Times New Roman" w:hAnsi="Times New Roman" w:cs="Times New Roman"/>
          <w:u w:val="single"/>
          <w:lang w:val="en-US"/>
        </w:rPr>
      </w:pPr>
    </w:p>
    <w:p w14:paraId="35EDD92F" w14:textId="24B9E885" w:rsidR="007A56B3" w:rsidRPr="00186583" w:rsidRDefault="007A56B3" w:rsidP="00186583">
      <w:pPr>
        <w:jc w:val="center"/>
        <w:rPr>
          <w:rFonts w:ascii="Times New Roman" w:hAnsi="Times New Roman" w:cs="Times New Roman"/>
          <w:b/>
          <w:bCs/>
          <w:sz w:val="36"/>
          <w:szCs w:val="36"/>
          <w:lang w:val="en-US"/>
        </w:rPr>
      </w:pPr>
      <w:r w:rsidRPr="00186583">
        <w:rPr>
          <w:rFonts w:ascii="Times New Roman" w:hAnsi="Times New Roman" w:cs="Times New Roman"/>
          <w:b/>
          <w:bCs/>
          <w:sz w:val="36"/>
          <w:szCs w:val="36"/>
          <w:lang w:val="en-US"/>
        </w:rPr>
        <w:t>Tax Literacy and Tax Confidence in a US College Population: Relations to Accounting and Tax Education</w:t>
      </w:r>
    </w:p>
    <w:p w14:paraId="14299E6D" w14:textId="0442974F" w:rsidR="001346E0" w:rsidRDefault="001346E0" w:rsidP="00186583">
      <w:pPr>
        <w:jc w:val="center"/>
        <w:rPr>
          <w:rFonts w:ascii="Times New Roman" w:hAnsi="Times New Roman" w:cs="Times New Roman"/>
          <w:sz w:val="36"/>
          <w:szCs w:val="36"/>
          <w:u w:val="single"/>
          <w:lang w:val="en-US"/>
        </w:rPr>
      </w:pPr>
    </w:p>
    <w:p w14:paraId="4E113D93" w14:textId="729279B1" w:rsidR="00186583" w:rsidRPr="00186583" w:rsidRDefault="00186583" w:rsidP="00186583">
      <w:pPr>
        <w:jc w:val="center"/>
        <w:rPr>
          <w:rFonts w:ascii="Times New Roman" w:hAnsi="Times New Roman" w:cs="Times New Roman"/>
          <w:b/>
          <w:bCs/>
          <w:sz w:val="36"/>
          <w:szCs w:val="36"/>
          <w:lang w:val="en-US"/>
        </w:rPr>
      </w:pPr>
      <w:r w:rsidRPr="00186583">
        <w:rPr>
          <w:rFonts w:ascii="Times New Roman" w:hAnsi="Times New Roman" w:cs="Times New Roman"/>
          <w:b/>
          <w:bCs/>
          <w:sz w:val="36"/>
          <w:szCs w:val="36"/>
          <w:lang w:val="en-US"/>
        </w:rPr>
        <w:t>Hanni Liu</w:t>
      </w:r>
    </w:p>
    <w:p w14:paraId="49FA13E2" w14:textId="1BE4A39E" w:rsidR="00186583" w:rsidRPr="00186583" w:rsidRDefault="00186583" w:rsidP="00186583">
      <w:pPr>
        <w:jc w:val="center"/>
        <w:rPr>
          <w:rFonts w:ascii="Times New Roman" w:hAnsi="Times New Roman" w:cs="Times New Roman"/>
          <w:lang w:val="en-US"/>
        </w:rPr>
      </w:pPr>
      <w:r w:rsidRPr="00186583">
        <w:rPr>
          <w:rFonts w:ascii="Times New Roman" w:hAnsi="Times New Roman" w:cs="Times New Roman"/>
          <w:lang w:val="en-US"/>
        </w:rPr>
        <w:t>Manhattan College</w:t>
      </w:r>
    </w:p>
    <w:p w14:paraId="3EAD7771" w14:textId="77777777" w:rsidR="00186583" w:rsidRPr="00186583" w:rsidRDefault="00186583" w:rsidP="00186583">
      <w:pPr>
        <w:jc w:val="center"/>
        <w:rPr>
          <w:rFonts w:ascii="Times New Roman" w:hAnsi="Times New Roman" w:cs="Times New Roman"/>
          <w:u w:val="single"/>
          <w:lang w:val="en-US"/>
        </w:rPr>
      </w:pPr>
    </w:p>
    <w:p w14:paraId="052B4ED1" w14:textId="5EAC2979" w:rsidR="00186583" w:rsidRDefault="00186583" w:rsidP="00186583">
      <w:pPr>
        <w:jc w:val="center"/>
        <w:rPr>
          <w:rFonts w:ascii="Times New Roman" w:hAnsi="Times New Roman" w:cs="Times New Roman"/>
          <w:b/>
          <w:bCs/>
          <w:sz w:val="36"/>
          <w:szCs w:val="36"/>
          <w:lang w:val="en-US"/>
        </w:rPr>
      </w:pPr>
      <w:r w:rsidRPr="00186583">
        <w:rPr>
          <w:rFonts w:ascii="Times New Roman" w:hAnsi="Times New Roman" w:cs="Times New Roman"/>
          <w:b/>
          <w:bCs/>
          <w:sz w:val="36"/>
          <w:szCs w:val="36"/>
          <w:lang w:val="en-US"/>
        </w:rPr>
        <w:t>Crystal J. Xu</w:t>
      </w:r>
    </w:p>
    <w:p w14:paraId="05E8DD89" w14:textId="77777777" w:rsidR="00E54B5E" w:rsidRPr="00186583" w:rsidRDefault="00E54B5E" w:rsidP="00E54B5E">
      <w:pPr>
        <w:jc w:val="center"/>
        <w:rPr>
          <w:rFonts w:ascii="Times New Roman" w:hAnsi="Times New Roman" w:cs="Times New Roman"/>
          <w:lang w:val="en-US"/>
        </w:rPr>
      </w:pPr>
      <w:r w:rsidRPr="00186583">
        <w:rPr>
          <w:rFonts w:ascii="Times New Roman" w:hAnsi="Times New Roman" w:cs="Times New Roman"/>
          <w:lang w:val="en-US"/>
        </w:rPr>
        <w:t>Manhattan College</w:t>
      </w:r>
    </w:p>
    <w:p w14:paraId="0045052E" w14:textId="77777777" w:rsidR="00186583" w:rsidRDefault="00186583" w:rsidP="00186583">
      <w:pPr>
        <w:jc w:val="center"/>
        <w:rPr>
          <w:rFonts w:ascii="Times New Roman" w:hAnsi="Times New Roman" w:cs="Times New Roman"/>
          <w:u w:val="single"/>
          <w:lang w:val="en-US"/>
        </w:rPr>
      </w:pPr>
    </w:p>
    <w:p w14:paraId="3100C480" w14:textId="00605177" w:rsidR="00186583" w:rsidRDefault="00186583" w:rsidP="00186583">
      <w:pPr>
        <w:jc w:val="center"/>
        <w:rPr>
          <w:rFonts w:ascii="Times New Roman" w:hAnsi="Times New Roman" w:cs="Times New Roman"/>
          <w:b/>
          <w:bCs/>
          <w:sz w:val="36"/>
          <w:szCs w:val="36"/>
          <w:lang w:val="en-US"/>
        </w:rPr>
      </w:pPr>
      <w:r w:rsidRPr="00186583">
        <w:rPr>
          <w:rFonts w:ascii="Times New Roman" w:hAnsi="Times New Roman" w:cs="Times New Roman"/>
          <w:b/>
          <w:bCs/>
          <w:sz w:val="36"/>
          <w:szCs w:val="36"/>
          <w:lang w:val="en-US"/>
        </w:rPr>
        <w:t>Arron Kim</w:t>
      </w:r>
    </w:p>
    <w:p w14:paraId="51877DA7" w14:textId="77777777" w:rsidR="00E54B5E" w:rsidRPr="00186583" w:rsidRDefault="00E54B5E" w:rsidP="00E54B5E">
      <w:pPr>
        <w:jc w:val="center"/>
        <w:rPr>
          <w:rFonts w:ascii="Times New Roman" w:hAnsi="Times New Roman" w:cs="Times New Roman"/>
          <w:lang w:val="en-US"/>
        </w:rPr>
      </w:pPr>
      <w:r w:rsidRPr="00186583">
        <w:rPr>
          <w:rFonts w:ascii="Times New Roman" w:hAnsi="Times New Roman" w:cs="Times New Roman"/>
          <w:lang w:val="en-US"/>
        </w:rPr>
        <w:t>Manhattan College</w:t>
      </w:r>
    </w:p>
    <w:p w14:paraId="0CC2078F" w14:textId="77777777" w:rsidR="00186583" w:rsidRPr="00211EEF" w:rsidRDefault="00186583" w:rsidP="00186583">
      <w:pPr>
        <w:jc w:val="center"/>
        <w:rPr>
          <w:rFonts w:ascii="Times New Roman" w:hAnsi="Times New Roman" w:cs="Times New Roman"/>
          <w:b/>
          <w:bCs/>
          <w:lang w:val="en-US"/>
        </w:rPr>
      </w:pPr>
    </w:p>
    <w:p w14:paraId="74533067" w14:textId="5E08140E" w:rsidR="001346E0" w:rsidRDefault="001346E0" w:rsidP="00186583">
      <w:pPr>
        <w:jc w:val="center"/>
        <w:rPr>
          <w:rFonts w:ascii="Arial" w:hAnsi="Arial" w:cs="Arial"/>
          <w:b/>
          <w:lang w:val="en-US"/>
        </w:rPr>
      </w:pPr>
      <w:r w:rsidRPr="00186583">
        <w:rPr>
          <w:rFonts w:ascii="Arial" w:hAnsi="Arial" w:cs="Arial"/>
          <w:b/>
          <w:lang w:val="en-US"/>
        </w:rPr>
        <w:t>Abstract</w:t>
      </w:r>
    </w:p>
    <w:p w14:paraId="19749BA3" w14:textId="77777777" w:rsidR="00186583" w:rsidRPr="002063D2" w:rsidRDefault="00186583" w:rsidP="00186583">
      <w:pPr>
        <w:ind w:left="720" w:right="720"/>
        <w:jc w:val="center"/>
        <w:rPr>
          <w:rFonts w:ascii="Arial" w:hAnsi="Arial" w:cs="Arial"/>
          <w:lang w:val="en-US"/>
        </w:rPr>
      </w:pPr>
    </w:p>
    <w:p w14:paraId="367773E8" w14:textId="742C58A5" w:rsidR="001346E0" w:rsidRPr="00186583" w:rsidRDefault="00762368" w:rsidP="00186583">
      <w:pPr>
        <w:ind w:left="720" w:right="720"/>
        <w:jc w:val="both"/>
        <w:rPr>
          <w:rFonts w:ascii="Arial" w:hAnsi="Arial" w:cs="Arial"/>
          <w:sz w:val="17"/>
          <w:szCs w:val="17"/>
          <w:lang w:val="en-US"/>
        </w:rPr>
      </w:pPr>
      <w:r w:rsidRPr="00186583">
        <w:rPr>
          <w:rFonts w:ascii="Arial" w:hAnsi="Arial" w:cs="Arial"/>
          <w:sz w:val="17"/>
          <w:szCs w:val="17"/>
          <w:lang w:val="en-US"/>
        </w:rPr>
        <w:t xml:space="preserve">The ability to understand and properly plan for income taxes is crucial to successful financial planning. For young adults, recognizing the importance of taxes and how they work can foster confidence in handling tax matters and facilitate future financial success. While there are growing efforts to </w:t>
      </w:r>
      <w:r w:rsidR="001F3169" w:rsidRPr="00186583">
        <w:rPr>
          <w:rFonts w:ascii="Arial" w:hAnsi="Arial" w:cs="Arial"/>
          <w:sz w:val="17"/>
          <w:szCs w:val="17"/>
          <w:lang w:val="en-US"/>
        </w:rPr>
        <w:t xml:space="preserve">improve </w:t>
      </w:r>
      <w:r w:rsidRPr="00186583">
        <w:rPr>
          <w:rFonts w:ascii="Arial" w:hAnsi="Arial" w:cs="Arial"/>
          <w:sz w:val="17"/>
          <w:szCs w:val="17"/>
          <w:lang w:val="en-US"/>
        </w:rPr>
        <w:t xml:space="preserve">the financial knowledge of young adults, little is known </w:t>
      </w:r>
      <w:r w:rsidR="000A7FC5" w:rsidRPr="00186583">
        <w:rPr>
          <w:rFonts w:ascii="Arial" w:hAnsi="Arial" w:cs="Arial"/>
          <w:sz w:val="17"/>
          <w:szCs w:val="17"/>
          <w:lang w:val="en-US"/>
        </w:rPr>
        <w:t xml:space="preserve">about </w:t>
      </w:r>
      <w:r w:rsidRPr="00186583">
        <w:rPr>
          <w:rFonts w:ascii="Arial" w:hAnsi="Arial" w:cs="Arial"/>
          <w:sz w:val="17"/>
          <w:szCs w:val="17"/>
          <w:lang w:val="en-US"/>
        </w:rPr>
        <w:t xml:space="preserve">how </w:t>
      </w:r>
      <w:r w:rsidR="001C419D" w:rsidRPr="00186583">
        <w:rPr>
          <w:rFonts w:ascii="Arial" w:hAnsi="Arial" w:cs="Arial"/>
          <w:sz w:val="17"/>
          <w:szCs w:val="17"/>
          <w:lang w:val="en-US"/>
        </w:rPr>
        <w:t xml:space="preserve">they </w:t>
      </w:r>
      <w:r w:rsidRPr="00186583">
        <w:rPr>
          <w:rFonts w:ascii="Arial" w:hAnsi="Arial" w:cs="Arial"/>
          <w:sz w:val="17"/>
          <w:szCs w:val="17"/>
          <w:lang w:val="en-US"/>
        </w:rPr>
        <w:t xml:space="preserve">understand basic tax concepts and whether their levels of tax knowledge benefit from accounting or tax courses. In this study, we survey college students </w:t>
      </w:r>
      <w:r w:rsidR="00606253" w:rsidRPr="00186583">
        <w:rPr>
          <w:rFonts w:ascii="Arial" w:hAnsi="Arial" w:cs="Arial"/>
          <w:sz w:val="17"/>
          <w:szCs w:val="17"/>
          <w:lang w:val="en-US"/>
        </w:rPr>
        <w:t xml:space="preserve">a) </w:t>
      </w:r>
      <w:r w:rsidRPr="00186583">
        <w:rPr>
          <w:rFonts w:ascii="Arial" w:hAnsi="Arial" w:cs="Arial"/>
          <w:sz w:val="17"/>
          <w:szCs w:val="17"/>
          <w:lang w:val="en-US"/>
        </w:rPr>
        <w:t xml:space="preserve">to gauge their levels of </w:t>
      </w:r>
      <w:r w:rsidR="00417C79" w:rsidRPr="00186583">
        <w:rPr>
          <w:rFonts w:ascii="Arial" w:hAnsi="Arial" w:cs="Arial"/>
          <w:sz w:val="17"/>
          <w:szCs w:val="17"/>
          <w:lang w:val="en-US"/>
        </w:rPr>
        <w:t xml:space="preserve">actual </w:t>
      </w:r>
      <w:r w:rsidRPr="00186583">
        <w:rPr>
          <w:rFonts w:ascii="Arial" w:hAnsi="Arial" w:cs="Arial"/>
          <w:sz w:val="17"/>
          <w:szCs w:val="17"/>
          <w:lang w:val="en-US"/>
        </w:rPr>
        <w:t xml:space="preserve">tax </w:t>
      </w:r>
      <w:r w:rsidR="00417C79" w:rsidRPr="00186583">
        <w:rPr>
          <w:rFonts w:ascii="Arial" w:hAnsi="Arial" w:cs="Arial"/>
          <w:sz w:val="17"/>
          <w:szCs w:val="17"/>
          <w:lang w:val="en-US"/>
        </w:rPr>
        <w:t xml:space="preserve">knowledge (tax </w:t>
      </w:r>
      <w:r w:rsidRPr="00186583">
        <w:rPr>
          <w:rFonts w:ascii="Arial" w:hAnsi="Arial" w:cs="Arial"/>
          <w:sz w:val="17"/>
          <w:szCs w:val="17"/>
          <w:lang w:val="en-US"/>
        </w:rPr>
        <w:t>literacy</w:t>
      </w:r>
      <w:r w:rsidR="00417C79" w:rsidRPr="00186583">
        <w:rPr>
          <w:rFonts w:ascii="Arial" w:hAnsi="Arial" w:cs="Arial"/>
          <w:sz w:val="17"/>
          <w:szCs w:val="17"/>
          <w:lang w:val="en-US"/>
        </w:rPr>
        <w:t>)</w:t>
      </w:r>
      <w:r w:rsidRPr="00186583">
        <w:rPr>
          <w:rFonts w:ascii="Arial" w:hAnsi="Arial" w:cs="Arial"/>
          <w:sz w:val="17"/>
          <w:szCs w:val="17"/>
          <w:lang w:val="en-US"/>
        </w:rPr>
        <w:t xml:space="preserve"> and </w:t>
      </w:r>
      <w:r w:rsidR="00417C79" w:rsidRPr="00186583">
        <w:rPr>
          <w:rFonts w:ascii="Arial" w:hAnsi="Arial" w:cs="Arial"/>
          <w:sz w:val="17"/>
          <w:szCs w:val="17"/>
          <w:lang w:val="en-US"/>
        </w:rPr>
        <w:t>perceived tax knowledge (</w:t>
      </w:r>
      <w:r w:rsidR="00B6367A" w:rsidRPr="00186583">
        <w:rPr>
          <w:rFonts w:ascii="Arial" w:hAnsi="Arial" w:cs="Arial"/>
          <w:sz w:val="17"/>
          <w:szCs w:val="17"/>
          <w:lang w:val="en-US"/>
        </w:rPr>
        <w:t xml:space="preserve">tax </w:t>
      </w:r>
      <w:r w:rsidRPr="00186583">
        <w:rPr>
          <w:rFonts w:ascii="Arial" w:hAnsi="Arial" w:cs="Arial"/>
          <w:sz w:val="17"/>
          <w:szCs w:val="17"/>
          <w:lang w:val="en-US"/>
        </w:rPr>
        <w:t>confidence</w:t>
      </w:r>
      <w:r w:rsidR="00417C79" w:rsidRPr="00186583">
        <w:rPr>
          <w:rFonts w:ascii="Arial" w:hAnsi="Arial" w:cs="Arial"/>
          <w:sz w:val="17"/>
          <w:szCs w:val="17"/>
          <w:lang w:val="en-US"/>
        </w:rPr>
        <w:t>)</w:t>
      </w:r>
      <w:r w:rsidRPr="00186583">
        <w:rPr>
          <w:rFonts w:ascii="Arial" w:hAnsi="Arial" w:cs="Arial"/>
          <w:sz w:val="17"/>
          <w:szCs w:val="17"/>
          <w:lang w:val="en-US"/>
        </w:rPr>
        <w:t xml:space="preserve"> and</w:t>
      </w:r>
      <w:r w:rsidR="001C419D" w:rsidRPr="00186583">
        <w:rPr>
          <w:rFonts w:ascii="Arial" w:hAnsi="Arial" w:cs="Arial"/>
          <w:sz w:val="17"/>
          <w:szCs w:val="17"/>
          <w:lang w:val="en-US"/>
        </w:rPr>
        <w:t xml:space="preserve"> </w:t>
      </w:r>
      <w:r w:rsidR="00606253" w:rsidRPr="00186583">
        <w:rPr>
          <w:rFonts w:ascii="Arial" w:hAnsi="Arial" w:cs="Arial"/>
          <w:sz w:val="17"/>
          <w:szCs w:val="17"/>
          <w:lang w:val="en-US"/>
        </w:rPr>
        <w:t xml:space="preserve">b) </w:t>
      </w:r>
      <w:r w:rsidR="001C419D" w:rsidRPr="00186583">
        <w:rPr>
          <w:rFonts w:ascii="Arial" w:hAnsi="Arial" w:cs="Arial"/>
          <w:sz w:val="17"/>
          <w:szCs w:val="17"/>
          <w:lang w:val="en-US"/>
        </w:rPr>
        <w:t>to assess the role that</w:t>
      </w:r>
      <w:r w:rsidRPr="00186583">
        <w:rPr>
          <w:rFonts w:ascii="Arial" w:hAnsi="Arial" w:cs="Arial"/>
          <w:sz w:val="17"/>
          <w:szCs w:val="17"/>
          <w:lang w:val="en-US"/>
        </w:rPr>
        <w:t xml:space="preserve"> accounting </w:t>
      </w:r>
      <w:r w:rsidR="009F2A4A" w:rsidRPr="00186583">
        <w:rPr>
          <w:rFonts w:ascii="Arial" w:hAnsi="Arial" w:cs="Arial"/>
          <w:sz w:val="17"/>
          <w:szCs w:val="17"/>
          <w:lang w:val="en-US"/>
        </w:rPr>
        <w:t xml:space="preserve">and </w:t>
      </w:r>
      <w:r w:rsidRPr="00186583">
        <w:rPr>
          <w:rFonts w:ascii="Arial" w:hAnsi="Arial" w:cs="Arial"/>
          <w:sz w:val="17"/>
          <w:szCs w:val="17"/>
          <w:lang w:val="en-US"/>
        </w:rPr>
        <w:t>tax education play</w:t>
      </w:r>
      <w:r w:rsidR="00B6367A" w:rsidRPr="00186583">
        <w:rPr>
          <w:rFonts w:ascii="Arial" w:hAnsi="Arial" w:cs="Arial"/>
          <w:sz w:val="17"/>
          <w:szCs w:val="17"/>
          <w:lang w:val="en-US"/>
        </w:rPr>
        <w:t>s</w:t>
      </w:r>
      <w:r w:rsidRPr="00186583">
        <w:rPr>
          <w:rFonts w:ascii="Arial" w:hAnsi="Arial" w:cs="Arial"/>
          <w:sz w:val="17"/>
          <w:szCs w:val="17"/>
          <w:lang w:val="en-US"/>
        </w:rPr>
        <w:t xml:space="preserve"> in those levels. The results </w:t>
      </w:r>
      <w:r w:rsidR="001C419D" w:rsidRPr="00186583">
        <w:rPr>
          <w:rFonts w:ascii="Arial" w:hAnsi="Arial" w:cs="Arial"/>
          <w:sz w:val="17"/>
          <w:szCs w:val="17"/>
          <w:lang w:val="en-US"/>
        </w:rPr>
        <w:t xml:space="preserve">reveal </w:t>
      </w:r>
      <w:r w:rsidRPr="00186583">
        <w:rPr>
          <w:rFonts w:ascii="Arial" w:hAnsi="Arial" w:cs="Arial"/>
          <w:sz w:val="17"/>
          <w:szCs w:val="17"/>
          <w:lang w:val="en-US"/>
        </w:rPr>
        <w:t xml:space="preserve">that </w:t>
      </w:r>
      <w:r w:rsidR="00112215" w:rsidRPr="00186583">
        <w:rPr>
          <w:rFonts w:ascii="Arial" w:hAnsi="Arial" w:cs="Arial"/>
          <w:sz w:val="17"/>
          <w:szCs w:val="17"/>
          <w:lang w:val="en-US"/>
        </w:rPr>
        <w:t xml:space="preserve">students’ </w:t>
      </w:r>
      <w:r w:rsidR="00CE0B7E" w:rsidRPr="00186583">
        <w:rPr>
          <w:rFonts w:ascii="Arial" w:hAnsi="Arial" w:cs="Arial"/>
          <w:sz w:val="17"/>
          <w:szCs w:val="17"/>
          <w:lang w:val="en-US"/>
        </w:rPr>
        <w:t xml:space="preserve">tax literacy is positively associated with their </w:t>
      </w:r>
      <w:r w:rsidR="00112215" w:rsidRPr="00186583">
        <w:rPr>
          <w:rFonts w:ascii="Arial" w:hAnsi="Arial" w:cs="Arial"/>
          <w:sz w:val="17"/>
          <w:szCs w:val="17"/>
          <w:lang w:val="en-US"/>
        </w:rPr>
        <w:t xml:space="preserve">financial </w:t>
      </w:r>
      <w:r w:rsidR="009A1472" w:rsidRPr="00186583">
        <w:rPr>
          <w:rFonts w:ascii="Arial" w:hAnsi="Arial" w:cs="Arial"/>
          <w:sz w:val="17"/>
          <w:szCs w:val="17"/>
          <w:lang w:val="en-US"/>
        </w:rPr>
        <w:t xml:space="preserve">literacy and financial </w:t>
      </w:r>
      <w:r w:rsidR="00112215" w:rsidRPr="00186583">
        <w:rPr>
          <w:rFonts w:ascii="Arial" w:hAnsi="Arial" w:cs="Arial"/>
          <w:sz w:val="17"/>
          <w:szCs w:val="17"/>
          <w:lang w:val="en-US"/>
        </w:rPr>
        <w:t xml:space="preserve">experience, and </w:t>
      </w:r>
      <w:r w:rsidRPr="00186583">
        <w:rPr>
          <w:rFonts w:ascii="Arial" w:hAnsi="Arial" w:cs="Arial"/>
          <w:sz w:val="17"/>
          <w:szCs w:val="17"/>
          <w:lang w:val="en-US"/>
        </w:rPr>
        <w:t xml:space="preserve">receiving tax education rather than accounting education </w:t>
      </w:r>
      <w:r w:rsidR="00112215" w:rsidRPr="00186583">
        <w:rPr>
          <w:rFonts w:ascii="Arial" w:hAnsi="Arial" w:cs="Arial"/>
          <w:sz w:val="17"/>
          <w:szCs w:val="17"/>
          <w:lang w:val="en-US"/>
        </w:rPr>
        <w:t>increases</w:t>
      </w:r>
      <w:r w:rsidRPr="00186583">
        <w:rPr>
          <w:rFonts w:ascii="Arial" w:hAnsi="Arial" w:cs="Arial"/>
          <w:sz w:val="17"/>
          <w:szCs w:val="17"/>
          <w:lang w:val="en-US"/>
        </w:rPr>
        <w:t xml:space="preserve"> both</w:t>
      </w:r>
      <w:r w:rsidR="00417C79" w:rsidRPr="00186583">
        <w:rPr>
          <w:rFonts w:ascii="Arial" w:hAnsi="Arial" w:cs="Arial"/>
          <w:sz w:val="17"/>
          <w:szCs w:val="17"/>
          <w:lang w:val="en-US"/>
        </w:rPr>
        <w:t xml:space="preserve"> students’</w:t>
      </w:r>
      <w:r w:rsidRPr="00186583">
        <w:rPr>
          <w:rFonts w:ascii="Arial" w:hAnsi="Arial" w:cs="Arial"/>
          <w:sz w:val="17"/>
          <w:szCs w:val="17"/>
          <w:lang w:val="en-US"/>
        </w:rPr>
        <w:t xml:space="preserve"> tax literacy and confidence. </w:t>
      </w:r>
      <w:r w:rsidR="007A6EA6" w:rsidRPr="00186583">
        <w:rPr>
          <w:rFonts w:ascii="Arial" w:hAnsi="Arial" w:cs="Arial"/>
          <w:sz w:val="17"/>
          <w:szCs w:val="17"/>
          <w:lang w:val="en-US"/>
        </w:rPr>
        <w:t xml:space="preserve">In addition, students’ experience in financial transactions and tax return filing </w:t>
      </w:r>
      <w:proofErr w:type="gramStart"/>
      <w:r w:rsidR="007A6EA6" w:rsidRPr="00186583">
        <w:rPr>
          <w:rFonts w:ascii="Arial" w:hAnsi="Arial" w:cs="Arial"/>
          <w:sz w:val="17"/>
          <w:szCs w:val="17"/>
          <w:lang w:val="en-US"/>
        </w:rPr>
        <w:t>are</w:t>
      </w:r>
      <w:proofErr w:type="gramEnd"/>
      <w:r w:rsidR="007A6EA6" w:rsidRPr="00186583">
        <w:rPr>
          <w:rFonts w:ascii="Arial" w:hAnsi="Arial" w:cs="Arial"/>
          <w:sz w:val="17"/>
          <w:szCs w:val="17"/>
          <w:lang w:val="en-US"/>
        </w:rPr>
        <w:t xml:space="preserve"> positively associated with their </w:t>
      </w:r>
      <w:r w:rsidR="00417C79" w:rsidRPr="00186583">
        <w:rPr>
          <w:rFonts w:ascii="Arial" w:hAnsi="Arial" w:cs="Arial"/>
          <w:sz w:val="17"/>
          <w:szCs w:val="17"/>
          <w:lang w:val="en-US"/>
        </w:rPr>
        <w:t xml:space="preserve">tax </w:t>
      </w:r>
      <w:r w:rsidR="007A6EA6" w:rsidRPr="00186583">
        <w:rPr>
          <w:rFonts w:ascii="Arial" w:hAnsi="Arial" w:cs="Arial"/>
          <w:sz w:val="17"/>
          <w:szCs w:val="17"/>
          <w:lang w:val="en-US"/>
        </w:rPr>
        <w:t xml:space="preserve">confidence. </w:t>
      </w:r>
      <w:r w:rsidRPr="00186583">
        <w:rPr>
          <w:rFonts w:ascii="Arial" w:hAnsi="Arial" w:cs="Arial"/>
          <w:sz w:val="17"/>
          <w:szCs w:val="17"/>
          <w:lang w:val="en-US"/>
        </w:rPr>
        <w:t xml:space="preserve">Therefore, we </w:t>
      </w:r>
      <w:r w:rsidR="00B6367A" w:rsidRPr="00186583">
        <w:rPr>
          <w:rFonts w:ascii="Arial" w:hAnsi="Arial" w:cs="Arial"/>
          <w:sz w:val="17"/>
          <w:szCs w:val="17"/>
          <w:lang w:val="en-US"/>
        </w:rPr>
        <w:t xml:space="preserve">recommend </w:t>
      </w:r>
      <w:r w:rsidRPr="00186583">
        <w:rPr>
          <w:rFonts w:ascii="Arial" w:hAnsi="Arial" w:cs="Arial"/>
          <w:sz w:val="17"/>
          <w:szCs w:val="17"/>
          <w:lang w:val="en-US"/>
        </w:rPr>
        <w:t xml:space="preserve">adding tax-related extracurricular activities </w:t>
      </w:r>
      <w:r w:rsidR="00596322" w:rsidRPr="00186583">
        <w:rPr>
          <w:rFonts w:ascii="Arial" w:hAnsi="Arial" w:cs="Arial"/>
          <w:sz w:val="17"/>
          <w:szCs w:val="17"/>
          <w:lang w:val="en-US"/>
        </w:rPr>
        <w:t>or</w:t>
      </w:r>
      <w:r w:rsidR="00FA77C4" w:rsidRPr="00186583">
        <w:rPr>
          <w:rFonts w:ascii="Arial" w:hAnsi="Arial" w:cs="Arial"/>
          <w:sz w:val="17"/>
          <w:szCs w:val="17"/>
          <w:lang w:val="en-US"/>
        </w:rPr>
        <w:t xml:space="preserve"> </w:t>
      </w:r>
      <w:r w:rsidR="009F2A4A" w:rsidRPr="00186583">
        <w:rPr>
          <w:rFonts w:ascii="Arial" w:hAnsi="Arial" w:cs="Arial"/>
          <w:sz w:val="17"/>
          <w:szCs w:val="17"/>
          <w:lang w:val="en-US"/>
        </w:rPr>
        <w:t>fundamental</w:t>
      </w:r>
      <w:r w:rsidR="00FA77C4" w:rsidRPr="00186583">
        <w:rPr>
          <w:rFonts w:ascii="Arial" w:hAnsi="Arial" w:cs="Arial"/>
          <w:sz w:val="17"/>
          <w:szCs w:val="17"/>
          <w:lang w:val="en-US"/>
        </w:rPr>
        <w:t xml:space="preserve"> tax </w:t>
      </w:r>
      <w:r w:rsidR="009F2A4A" w:rsidRPr="00186583">
        <w:rPr>
          <w:rFonts w:ascii="Arial" w:hAnsi="Arial" w:cs="Arial"/>
          <w:sz w:val="17"/>
          <w:szCs w:val="17"/>
          <w:lang w:val="en-US"/>
        </w:rPr>
        <w:t>courses</w:t>
      </w:r>
      <w:r w:rsidR="00FA77C4" w:rsidRPr="00186583">
        <w:rPr>
          <w:rFonts w:ascii="Arial" w:hAnsi="Arial" w:cs="Arial"/>
          <w:sz w:val="17"/>
          <w:szCs w:val="17"/>
          <w:lang w:val="en-US"/>
        </w:rPr>
        <w:t xml:space="preserve"> </w:t>
      </w:r>
      <w:r w:rsidR="000A7FC5" w:rsidRPr="00186583">
        <w:rPr>
          <w:rFonts w:ascii="Arial" w:hAnsi="Arial" w:cs="Arial"/>
          <w:sz w:val="17"/>
          <w:szCs w:val="17"/>
          <w:lang w:val="en-US"/>
        </w:rPr>
        <w:t>to</w:t>
      </w:r>
      <w:r w:rsidRPr="00186583">
        <w:rPr>
          <w:rFonts w:ascii="Arial" w:hAnsi="Arial" w:cs="Arial"/>
          <w:sz w:val="17"/>
          <w:szCs w:val="17"/>
          <w:lang w:val="en-US"/>
        </w:rPr>
        <w:t xml:space="preserve"> college education to improve </w:t>
      </w:r>
      <w:r w:rsidR="000A7FC5" w:rsidRPr="00186583">
        <w:rPr>
          <w:rFonts w:ascii="Arial" w:hAnsi="Arial" w:cs="Arial"/>
          <w:sz w:val="17"/>
          <w:szCs w:val="17"/>
          <w:lang w:val="en-US"/>
        </w:rPr>
        <w:t xml:space="preserve">the </w:t>
      </w:r>
      <w:r w:rsidRPr="00186583">
        <w:rPr>
          <w:rFonts w:ascii="Arial" w:hAnsi="Arial" w:cs="Arial"/>
          <w:sz w:val="17"/>
          <w:szCs w:val="17"/>
          <w:lang w:val="en-US"/>
        </w:rPr>
        <w:t>tax literacy of young adults.</w:t>
      </w:r>
    </w:p>
    <w:p w14:paraId="57688F89" w14:textId="77777777" w:rsidR="00186583" w:rsidRDefault="00186583" w:rsidP="00186583">
      <w:pPr>
        <w:rPr>
          <w:rFonts w:ascii="Times New Roman" w:hAnsi="Times New Roman" w:cs="Times New Roman"/>
          <w:b/>
          <w:sz w:val="20"/>
          <w:szCs w:val="20"/>
          <w:lang w:val="en-US"/>
        </w:rPr>
      </w:pPr>
    </w:p>
    <w:p w14:paraId="61A6FB03" w14:textId="77777777" w:rsidR="00186583" w:rsidRPr="00186583" w:rsidRDefault="00186583" w:rsidP="00186583">
      <w:pPr>
        <w:rPr>
          <w:rFonts w:ascii="Times New Roman" w:hAnsi="Times New Roman" w:cs="Times New Roman"/>
          <w:b/>
          <w:sz w:val="20"/>
          <w:szCs w:val="20"/>
          <w:lang w:val="en-US"/>
        </w:rPr>
      </w:pPr>
    </w:p>
    <w:p w14:paraId="3971E083" w14:textId="77777777" w:rsidR="00053ACF" w:rsidRPr="00186583" w:rsidRDefault="00053ACF" w:rsidP="00186583">
      <w:pPr>
        <w:rPr>
          <w:rFonts w:ascii="Times New Roman" w:hAnsi="Times New Roman" w:cs="Times New Roman"/>
          <w:b/>
          <w:bCs/>
          <w:sz w:val="20"/>
          <w:szCs w:val="20"/>
          <w:lang w:val="en-US"/>
        </w:rPr>
      </w:pPr>
    </w:p>
    <w:p w14:paraId="29BA083C" w14:textId="6A420A2B" w:rsidR="000F0CF2" w:rsidRDefault="000F0CF2" w:rsidP="00186583">
      <w:pPr>
        <w:rPr>
          <w:rFonts w:ascii="Times New Roman" w:hAnsi="Times New Roman" w:cs="Times New Roman"/>
          <w:b/>
          <w:bCs/>
          <w:sz w:val="20"/>
          <w:szCs w:val="20"/>
          <w:lang w:val="en-US"/>
        </w:rPr>
      </w:pPr>
      <w:r w:rsidRPr="00186583">
        <w:rPr>
          <w:rFonts w:ascii="Times New Roman" w:hAnsi="Times New Roman" w:cs="Times New Roman"/>
          <w:b/>
          <w:bCs/>
          <w:sz w:val="20"/>
          <w:szCs w:val="20"/>
          <w:lang w:val="en-US"/>
        </w:rPr>
        <w:t>Introduction</w:t>
      </w:r>
    </w:p>
    <w:p w14:paraId="0CC325C2" w14:textId="77777777" w:rsidR="00186583" w:rsidRPr="00186583" w:rsidRDefault="00186583" w:rsidP="00186583">
      <w:pPr>
        <w:rPr>
          <w:rFonts w:ascii="Times New Roman" w:hAnsi="Times New Roman" w:cs="Times New Roman"/>
          <w:b/>
          <w:bCs/>
          <w:sz w:val="20"/>
          <w:szCs w:val="20"/>
          <w:lang w:val="en-US"/>
        </w:rPr>
      </w:pPr>
    </w:p>
    <w:p w14:paraId="60781D22" w14:textId="7A79108D" w:rsidR="00B166E5" w:rsidRDefault="00A071C1" w:rsidP="00C45D4F">
      <w:pPr>
        <w:rPr>
          <w:rFonts w:ascii="Times New Roman" w:hAnsi="Times New Roman" w:cs="Times New Roman"/>
          <w:sz w:val="20"/>
          <w:szCs w:val="20"/>
          <w:lang w:val="en-US"/>
        </w:rPr>
      </w:pPr>
      <w:r w:rsidRPr="00186583">
        <w:rPr>
          <w:rFonts w:ascii="Times New Roman" w:hAnsi="Times New Roman" w:cs="Times New Roman"/>
          <w:sz w:val="20"/>
          <w:szCs w:val="20"/>
          <w:lang w:val="en-US"/>
        </w:rPr>
        <w:t xml:space="preserve">Better financial knowledge or financial literacy </w:t>
      </w:r>
      <w:r w:rsidR="000A7FC5" w:rsidRPr="00186583">
        <w:rPr>
          <w:rFonts w:ascii="Times New Roman" w:hAnsi="Times New Roman" w:cs="Times New Roman"/>
          <w:sz w:val="20"/>
          <w:szCs w:val="20"/>
          <w:lang w:val="en-US"/>
        </w:rPr>
        <w:t xml:space="preserve">has been </w:t>
      </w:r>
      <w:r w:rsidRPr="00186583">
        <w:rPr>
          <w:rFonts w:ascii="Times New Roman" w:hAnsi="Times New Roman" w:cs="Times New Roman"/>
          <w:sz w:val="20"/>
          <w:szCs w:val="20"/>
          <w:lang w:val="en-US"/>
        </w:rPr>
        <w:t>shown to help increase</w:t>
      </w:r>
      <w:r w:rsidR="00670E8B" w:rsidRPr="00186583">
        <w:rPr>
          <w:rFonts w:ascii="Times New Roman" w:hAnsi="Times New Roman" w:cs="Times New Roman"/>
          <w:sz w:val="20"/>
          <w:szCs w:val="20"/>
          <w:lang w:val="en-US"/>
        </w:rPr>
        <w:t xml:space="preserve"> financial confidence and </w:t>
      </w:r>
      <w:r w:rsidRPr="00186583">
        <w:rPr>
          <w:rFonts w:ascii="Times New Roman" w:hAnsi="Times New Roman" w:cs="Times New Roman"/>
          <w:sz w:val="20"/>
          <w:szCs w:val="20"/>
          <w:lang w:val="en-US"/>
        </w:rPr>
        <w:t xml:space="preserve">successful </w:t>
      </w:r>
      <w:r w:rsidR="00670E8B" w:rsidRPr="00186583">
        <w:rPr>
          <w:rFonts w:ascii="Times New Roman" w:hAnsi="Times New Roman" w:cs="Times New Roman"/>
          <w:sz w:val="20"/>
          <w:szCs w:val="20"/>
          <w:lang w:val="en-US"/>
        </w:rPr>
        <w:t xml:space="preserve">financial </w:t>
      </w:r>
      <w:r w:rsidRPr="00186583">
        <w:rPr>
          <w:rFonts w:ascii="Times New Roman" w:hAnsi="Times New Roman" w:cs="Times New Roman"/>
          <w:sz w:val="20"/>
          <w:szCs w:val="20"/>
          <w:lang w:val="en-US"/>
        </w:rPr>
        <w:t>management</w:t>
      </w:r>
      <w:r w:rsidR="000A7FC5" w:rsidRPr="00186583">
        <w:rPr>
          <w:rFonts w:ascii="Times New Roman" w:hAnsi="Times New Roman" w:cs="Times New Roman"/>
          <w:sz w:val="20"/>
          <w:szCs w:val="20"/>
          <w:lang w:val="en-US"/>
        </w:rPr>
        <w:t>,</w:t>
      </w:r>
      <w:r w:rsidRPr="00186583">
        <w:rPr>
          <w:rFonts w:ascii="Times New Roman" w:hAnsi="Times New Roman" w:cs="Times New Roman"/>
          <w:sz w:val="20"/>
          <w:szCs w:val="20"/>
          <w:lang w:val="en-US"/>
        </w:rPr>
        <w:t xml:space="preserve"> </w:t>
      </w:r>
      <w:r w:rsidR="0093454E" w:rsidRPr="00186583">
        <w:rPr>
          <w:rFonts w:ascii="Times New Roman" w:hAnsi="Times New Roman" w:cs="Times New Roman"/>
          <w:sz w:val="20"/>
          <w:szCs w:val="20"/>
          <w:lang w:val="en-US"/>
        </w:rPr>
        <w:t>such as</w:t>
      </w:r>
      <w:r w:rsidR="00670E8B" w:rsidRPr="00186583">
        <w:rPr>
          <w:rFonts w:ascii="Times New Roman" w:hAnsi="Times New Roman" w:cs="Times New Roman"/>
          <w:sz w:val="20"/>
          <w:szCs w:val="20"/>
          <w:lang w:val="en-US"/>
        </w:rPr>
        <w:t xml:space="preserve"> </w:t>
      </w:r>
      <w:r w:rsidR="00AD4540" w:rsidRPr="00186583">
        <w:rPr>
          <w:rFonts w:ascii="Times New Roman" w:hAnsi="Times New Roman" w:cs="Times New Roman"/>
          <w:sz w:val="20"/>
          <w:szCs w:val="20"/>
          <w:lang w:val="en-US"/>
        </w:rPr>
        <w:t>wealth accumulation</w:t>
      </w:r>
      <w:r w:rsidR="00670E8B" w:rsidRPr="00186583">
        <w:rPr>
          <w:rFonts w:ascii="Times New Roman" w:hAnsi="Times New Roman" w:cs="Times New Roman"/>
          <w:sz w:val="20"/>
          <w:szCs w:val="20"/>
          <w:lang w:val="en-US"/>
        </w:rPr>
        <w:t xml:space="preserve"> and</w:t>
      </w:r>
      <w:r w:rsidR="00AD4540" w:rsidRPr="00186583">
        <w:rPr>
          <w:rFonts w:ascii="Times New Roman" w:hAnsi="Times New Roman" w:cs="Times New Roman"/>
          <w:sz w:val="20"/>
          <w:szCs w:val="20"/>
          <w:lang w:val="en-US"/>
        </w:rPr>
        <w:t xml:space="preserve"> </w:t>
      </w:r>
      <w:r w:rsidR="004B292D" w:rsidRPr="00186583">
        <w:rPr>
          <w:rFonts w:ascii="Times New Roman" w:hAnsi="Times New Roman" w:cs="Times New Roman"/>
          <w:sz w:val="20"/>
          <w:szCs w:val="20"/>
          <w:lang w:val="en-US"/>
        </w:rPr>
        <w:t xml:space="preserve">planning for </w:t>
      </w:r>
      <w:r w:rsidR="00AD4540" w:rsidRPr="00186583">
        <w:rPr>
          <w:rFonts w:ascii="Times New Roman" w:hAnsi="Times New Roman" w:cs="Times New Roman"/>
          <w:sz w:val="20"/>
          <w:szCs w:val="20"/>
          <w:lang w:val="en-US"/>
        </w:rPr>
        <w:t>retirement (</w:t>
      </w:r>
      <w:r w:rsidR="00501238" w:rsidRPr="00186583">
        <w:rPr>
          <w:rFonts w:ascii="Times New Roman" w:hAnsi="Times New Roman" w:cs="Times New Roman"/>
          <w:sz w:val="20"/>
          <w:szCs w:val="20"/>
          <w:lang w:val="en-US"/>
        </w:rPr>
        <w:t>Hilgert and Hogarth, 2003;</w:t>
      </w:r>
      <w:r w:rsidR="00380E40" w:rsidRPr="00186583">
        <w:rPr>
          <w:rFonts w:ascii="Times New Roman" w:hAnsi="Times New Roman" w:cs="Times New Roman"/>
          <w:sz w:val="20"/>
          <w:szCs w:val="20"/>
          <w:lang w:val="en-US"/>
        </w:rPr>
        <w:t xml:space="preserve"> </w:t>
      </w:r>
      <w:r w:rsidR="00501238" w:rsidRPr="00186583">
        <w:rPr>
          <w:rFonts w:ascii="Times New Roman" w:hAnsi="Times New Roman" w:cs="Times New Roman"/>
          <w:sz w:val="20"/>
          <w:szCs w:val="20"/>
          <w:lang w:val="en-US"/>
        </w:rPr>
        <w:t>Woodyard and Robb, 2016;</w:t>
      </w:r>
      <w:r w:rsidRPr="00186583">
        <w:rPr>
          <w:rFonts w:ascii="Times New Roman" w:hAnsi="Times New Roman" w:cs="Times New Roman"/>
          <w:sz w:val="20"/>
          <w:szCs w:val="20"/>
          <w:lang w:val="en-US"/>
        </w:rPr>
        <w:t xml:space="preserve"> </w:t>
      </w:r>
      <w:proofErr w:type="spellStart"/>
      <w:r w:rsidR="00AD4540" w:rsidRPr="00186583">
        <w:rPr>
          <w:rFonts w:ascii="Times New Roman" w:hAnsi="Times New Roman" w:cs="Times New Roman"/>
          <w:sz w:val="20"/>
          <w:szCs w:val="20"/>
          <w:lang w:val="en-US"/>
        </w:rPr>
        <w:t>Bannier</w:t>
      </w:r>
      <w:proofErr w:type="spellEnd"/>
      <w:r w:rsidR="00AD4540" w:rsidRPr="00186583">
        <w:rPr>
          <w:rFonts w:ascii="Times New Roman" w:hAnsi="Times New Roman" w:cs="Times New Roman"/>
          <w:sz w:val="20"/>
          <w:szCs w:val="20"/>
          <w:lang w:val="en-US"/>
        </w:rPr>
        <w:t xml:space="preserve"> and Schwarz 2018). </w:t>
      </w:r>
      <w:r w:rsidR="00C53AAC" w:rsidRPr="00186583">
        <w:rPr>
          <w:rFonts w:ascii="Times New Roman" w:hAnsi="Times New Roman" w:cs="Times New Roman"/>
          <w:sz w:val="20"/>
          <w:szCs w:val="20"/>
          <w:lang w:val="en-US"/>
        </w:rPr>
        <w:t>U</w:t>
      </w:r>
      <w:r w:rsidR="000A7FC5" w:rsidRPr="00186583">
        <w:rPr>
          <w:rFonts w:ascii="Times New Roman" w:hAnsi="Times New Roman" w:cs="Times New Roman"/>
          <w:sz w:val="20"/>
          <w:szCs w:val="20"/>
          <w:lang w:val="en-US"/>
        </w:rPr>
        <w:t>nderstanding</w:t>
      </w:r>
      <w:r w:rsidR="00C82BE8" w:rsidRPr="00186583">
        <w:rPr>
          <w:rFonts w:ascii="Times New Roman" w:hAnsi="Times New Roman" w:cs="Times New Roman"/>
          <w:sz w:val="20"/>
          <w:szCs w:val="20"/>
          <w:lang w:val="en-US"/>
        </w:rPr>
        <w:t xml:space="preserve"> </w:t>
      </w:r>
      <w:r w:rsidR="000A7FC5" w:rsidRPr="00186583">
        <w:rPr>
          <w:rFonts w:ascii="Times New Roman" w:hAnsi="Times New Roman" w:cs="Times New Roman"/>
          <w:sz w:val="20"/>
          <w:szCs w:val="20"/>
          <w:lang w:val="en-US"/>
        </w:rPr>
        <w:t xml:space="preserve">taxes is </w:t>
      </w:r>
      <w:r w:rsidR="00656178" w:rsidRPr="00186583">
        <w:rPr>
          <w:rFonts w:ascii="Times New Roman" w:hAnsi="Times New Roman" w:cs="Times New Roman"/>
          <w:sz w:val="20"/>
          <w:szCs w:val="20"/>
          <w:lang w:val="en-US"/>
        </w:rPr>
        <w:t>paramount in maintaining a healthy financial position</w:t>
      </w:r>
      <w:r w:rsidR="002A3127" w:rsidRPr="00186583">
        <w:rPr>
          <w:rFonts w:ascii="Times New Roman" w:hAnsi="Times New Roman" w:cs="Times New Roman"/>
          <w:sz w:val="20"/>
          <w:szCs w:val="20"/>
          <w:lang w:val="en-US"/>
        </w:rPr>
        <w:t xml:space="preserve">. </w:t>
      </w:r>
      <w:r w:rsidR="000A7FC5" w:rsidRPr="00186583">
        <w:rPr>
          <w:rFonts w:ascii="Times New Roman" w:hAnsi="Times New Roman" w:cs="Times New Roman"/>
          <w:sz w:val="20"/>
          <w:szCs w:val="20"/>
          <w:lang w:val="en-US"/>
        </w:rPr>
        <w:t xml:space="preserve">Knowing </w:t>
      </w:r>
      <w:r w:rsidR="00656178" w:rsidRPr="00186583">
        <w:rPr>
          <w:rFonts w:ascii="Times New Roman" w:hAnsi="Times New Roman" w:cs="Times New Roman"/>
          <w:sz w:val="20"/>
          <w:szCs w:val="20"/>
          <w:lang w:val="en-US"/>
        </w:rPr>
        <w:t xml:space="preserve">what is subject to </w:t>
      </w:r>
      <w:r w:rsidR="001A646E" w:rsidRPr="00186583">
        <w:rPr>
          <w:rFonts w:ascii="Times New Roman" w:hAnsi="Times New Roman" w:cs="Times New Roman"/>
          <w:sz w:val="20"/>
          <w:szCs w:val="20"/>
          <w:lang w:val="en-US"/>
        </w:rPr>
        <w:t xml:space="preserve">income </w:t>
      </w:r>
      <w:r w:rsidR="00656178" w:rsidRPr="00186583">
        <w:rPr>
          <w:rFonts w:ascii="Times New Roman" w:hAnsi="Times New Roman" w:cs="Times New Roman"/>
          <w:sz w:val="20"/>
          <w:szCs w:val="20"/>
          <w:lang w:val="en-US"/>
        </w:rPr>
        <w:t xml:space="preserve">tax, how much tax may be payable, and how to strategize one’s retirement planning is crucial to financial success. </w:t>
      </w:r>
      <w:r w:rsidR="00654F57" w:rsidRPr="00186583">
        <w:rPr>
          <w:rFonts w:ascii="Times New Roman" w:hAnsi="Times New Roman" w:cs="Times New Roman"/>
          <w:sz w:val="20"/>
          <w:szCs w:val="20"/>
          <w:lang w:val="en-US"/>
        </w:rPr>
        <w:t xml:space="preserve">However, </w:t>
      </w:r>
      <w:r w:rsidR="004A5130" w:rsidRPr="00186583">
        <w:rPr>
          <w:rFonts w:ascii="Times New Roman" w:hAnsi="Times New Roman" w:cs="Times New Roman"/>
          <w:sz w:val="20"/>
          <w:szCs w:val="20"/>
          <w:lang w:val="en-US"/>
        </w:rPr>
        <w:t>many</w:t>
      </w:r>
      <w:r w:rsidR="00654F57" w:rsidRPr="00186583">
        <w:rPr>
          <w:rFonts w:ascii="Times New Roman" w:hAnsi="Times New Roman" w:cs="Times New Roman"/>
          <w:sz w:val="20"/>
          <w:szCs w:val="20"/>
          <w:lang w:val="en-US"/>
        </w:rPr>
        <w:t xml:space="preserve"> financial literacy dimensions</w:t>
      </w:r>
      <w:r w:rsidR="00814FB1" w:rsidRPr="00186583">
        <w:rPr>
          <w:rFonts w:ascii="Times New Roman" w:hAnsi="Times New Roman" w:cs="Times New Roman"/>
          <w:sz w:val="20"/>
          <w:szCs w:val="20"/>
          <w:lang w:val="en-US"/>
        </w:rPr>
        <w:t>,</w:t>
      </w:r>
      <w:r w:rsidR="00654F57" w:rsidRPr="00186583">
        <w:rPr>
          <w:rFonts w:ascii="Times New Roman" w:hAnsi="Times New Roman" w:cs="Times New Roman"/>
          <w:sz w:val="20"/>
          <w:szCs w:val="20"/>
          <w:lang w:val="en-US"/>
        </w:rPr>
        <w:t xml:space="preserve"> such as the time value of money and compound interest</w:t>
      </w:r>
      <w:r w:rsidR="00814FB1" w:rsidRPr="00186583">
        <w:rPr>
          <w:rFonts w:ascii="Times New Roman" w:hAnsi="Times New Roman" w:cs="Times New Roman"/>
          <w:sz w:val="20"/>
          <w:szCs w:val="20"/>
          <w:lang w:val="en-US"/>
        </w:rPr>
        <w:t>,</w:t>
      </w:r>
      <w:r w:rsidR="00654F57" w:rsidRPr="00186583">
        <w:rPr>
          <w:rFonts w:ascii="Times New Roman" w:hAnsi="Times New Roman" w:cs="Times New Roman"/>
          <w:sz w:val="20"/>
          <w:szCs w:val="20"/>
          <w:lang w:val="en-US"/>
        </w:rPr>
        <w:t xml:space="preserve"> may not translate into tax knowledge. </w:t>
      </w:r>
      <w:r w:rsidR="00D679DC" w:rsidRPr="00186583">
        <w:rPr>
          <w:rFonts w:ascii="Times New Roman" w:hAnsi="Times New Roman" w:cs="Times New Roman"/>
          <w:sz w:val="20"/>
          <w:szCs w:val="20"/>
          <w:lang w:val="en-US"/>
        </w:rPr>
        <w:t xml:space="preserve">As an inevitable cost </w:t>
      </w:r>
      <w:r w:rsidR="00D926B1" w:rsidRPr="00186583">
        <w:rPr>
          <w:rFonts w:ascii="Times New Roman" w:hAnsi="Times New Roman" w:cs="Times New Roman"/>
          <w:sz w:val="20"/>
          <w:szCs w:val="20"/>
          <w:lang w:val="en-US"/>
        </w:rPr>
        <w:t xml:space="preserve">of </w:t>
      </w:r>
      <w:r w:rsidR="00380E40" w:rsidRPr="00186583">
        <w:rPr>
          <w:rFonts w:ascii="Times New Roman" w:hAnsi="Times New Roman" w:cs="Times New Roman"/>
          <w:sz w:val="20"/>
          <w:szCs w:val="20"/>
          <w:lang w:val="en-US"/>
        </w:rPr>
        <w:t xml:space="preserve">income generation and </w:t>
      </w:r>
      <w:r w:rsidR="00D679DC" w:rsidRPr="00186583">
        <w:rPr>
          <w:rFonts w:ascii="Times New Roman" w:hAnsi="Times New Roman" w:cs="Times New Roman"/>
          <w:sz w:val="20"/>
          <w:szCs w:val="20"/>
          <w:lang w:val="en-US"/>
        </w:rPr>
        <w:t xml:space="preserve">wealth accumulation, </w:t>
      </w:r>
      <w:r w:rsidR="00656178" w:rsidRPr="00186583">
        <w:rPr>
          <w:rFonts w:ascii="Times New Roman" w:hAnsi="Times New Roman" w:cs="Times New Roman"/>
          <w:sz w:val="20"/>
          <w:szCs w:val="20"/>
          <w:lang w:val="en-US"/>
        </w:rPr>
        <w:t xml:space="preserve">taxes should be included as part of financial education (Chardon 2007). </w:t>
      </w:r>
      <w:r w:rsidR="00AD4540" w:rsidRPr="00186583">
        <w:rPr>
          <w:rFonts w:ascii="Times New Roman" w:hAnsi="Times New Roman" w:cs="Times New Roman"/>
          <w:sz w:val="20"/>
          <w:szCs w:val="20"/>
          <w:lang w:val="en-US"/>
        </w:rPr>
        <w:t xml:space="preserve">In this study, we aim to </w:t>
      </w:r>
      <w:r w:rsidR="001A646E" w:rsidRPr="00186583">
        <w:rPr>
          <w:rFonts w:ascii="Times New Roman" w:hAnsi="Times New Roman" w:cs="Times New Roman"/>
          <w:sz w:val="20"/>
          <w:szCs w:val="20"/>
          <w:lang w:val="en-US"/>
        </w:rPr>
        <w:t>examine the tax literacy</w:t>
      </w:r>
      <w:r w:rsidR="00EE33DB" w:rsidRPr="00186583">
        <w:rPr>
          <w:rFonts w:ascii="Times New Roman" w:hAnsi="Times New Roman" w:cs="Times New Roman"/>
          <w:sz w:val="20"/>
          <w:szCs w:val="20"/>
          <w:lang w:val="en-US"/>
        </w:rPr>
        <w:t xml:space="preserve"> levels</w:t>
      </w:r>
      <w:r w:rsidR="00D95CAD" w:rsidRPr="00186583">
        <w:rPr>
          <w:rFonts w:ascii="Times New Roman" w:hAnsi="Times New Roman" w:cs="Times New Roman"/>
          <w:sz w:val="20"/>
          <w:szCs w:val="20"/>
          <w:lang w:val="en-US"/>
        </w:rPr>
        <w:t xml:space="preserve"> in young adults</w:t>
      </w:r>
      <w:r w:rsidR="00EE33DB" w:rsidRPr="00186583">
        <w:rPr>
          <w:rFonts w:ascii="Times New Roman" w:hAnsi="Times New Roman" w:cs="Times New Roman"/>
          <w:sz w:val="20"/>
          <w:szCs w:val="20"/>
          <w:lang w:val="en-US"/>
        </w:rPr>
        <w:t xml:space="preserve">, and </w:t>
      </w:r>
      <w:r w:rsidR="00D95CAD" w:rsidRPr="00186583">
        <w:rPr>
          <w:rFonts w:ascii="Times New Roman" w:hAnsi="Times New Roman" w:cs="Times New Roman"/>
          <w:sz w:val="20"/>
          <w:szCs w:val="20"/>
          <w:lang w:val="en-US"/>
        </w:rPr>
        <w:t xml:space="preserve">whether accounting and tax education are attributed to tax </w:t>
      </w:r>
      <w:r w:rsidR="00EE33DB" w:rsidRPr="00186583">
        <w:rPr>
          <w:rFonts w:ascii="Times New Roman" w:hAnsi="Times New Roman" w:cs="Times New Roman"/>
          <w:sz w:val="20"/>
          <w:szCs w:val="20"/>
          <w:lang w:val="en-US"/>
        </w:rPr>
        <w:t xml:space="preserve">literacy and tax </w:t>
      </w:r>
      <w:r w:rsidR="00D95CAD" w:rsidRPr="00186583">
        <w:rPr>
          <w:rFonts w:ascii="Times New Roman" w:hAnsi="Times New Roman" w:cs="Times New Roman"/>
          <w:sz w:val="20"/>
          <w:szCs w:val="20"/>
          <w:lang w:val="en-US"/>
        </w:rPr>
        <w:t xml:space="preserve">confidence (i.e., the level of perceived tax literacy). </w:t>
      </w:r>
      <w:r w:rsidR="003B0414" w:rsidRPr="00186583">
        <w:rPr>
          <w:rFonts w:ascii="Times New Roman" w:hAnsi="Times New Roman" w:cs="Times New Roman"/>
          <w:sz w:val="20"/>
          <w:szCs w:val="20"/>
          <w:lang w:val="en-US"/>
        </w:rPr>
        <w:t>Through this paper, w</w:t>
      </w:r>
      <w:r w:rsidR="00C82BE8" w:rsidRPr="00186583">
        <w:rPr>
          <w:rFonts w:ascii="Times New Roman" w:hAnsi="Times New Roman" w:cs="Times New Roman"/>
          <w:sz w:val="20"/>
          <w:szCs w:val="20"/>
          <w:lang w:val="en-US"/>
        </w:rPr>
        <w:t>e wish to</w:t>
      </w:r>
      <w:r w:rsidR="001A646E" w:rsidRPr="00186583">
        <w:rPr>
          <w:rFonts w:ascii="Times New Roman" w:hAnsi="Times New Roman" w:cs="Times New Roman"/>
          <w:sz w:val="20"/>
          <w:szCs w:val="20"/>
          <w:lang w:val="en-US"/>
        </w:rPr>
        <w:t xml:space="preserve"> </w:t>
      </w:r>
      <w:r w:rsidR="00CF2BB0" w:rsidRPr="00186583">
        <w:rPr>
          <w:rFonts w:ascii="Times New Roman" w:hAnsi="Times New Roman" w:cs="Times New Roman"/>
          <w:sz w:val="20"/>
          <w:szCs w:val="20"/>
          <w:lang w:val="en-US"/>
        </w:rPr>
        <w:t>advocate</w:t>
      </w:r>
      <w:r w:rsidR="001A646E" w:rsidRPr="00186583">
        <w:rPr>
          <w:rFonts w:ascii="Times New Roman" w:hAnsi="Times New Roman" w:cs="Times New Roman"/>
          <w:sz w:val="20"/>
          <w:szCs w:val="20"/>
          <w:lang w:val="en-US"/>
        </w:rPr>
        <w:t xml:space="preserve"> the importance of </w:t>
      </w:r>
      <w:r w:rsidR="003B0414" w:rsidRPr="00186583">
        <w:rPr>
          <w:rFonts w:ascii="Times New Roman" w:hAnsi="Times New Roman" w:cs="Times New Roman"/>
          <w:sz w:val="20"/>
          <w:szCs w:val="20"/>
          <w:lang w:val="en-US"/>
        </w:rPr>
        <w:t xml:space="preserve">including </w:t>
      </w:r>
      <w:r w:rsidR="001A646E" w:rsidRPr="00186583">
        <w:rPr>
          <w:rFonts w:ascii="Times New Roman" w:hAnsi="Times New Roman" w:cs="Times New Roman"/>
          <w:sz w:val="20"/>
          <w:szCs w:val="20"/>
          <w:lang w:val="en-US"/>
        </w:rPr>
        <w:t xml:space="preserve">tax training </w:t>
      </w:r>
      <w:r w:rsidR="003B0414" w:rsidRPr="00186583">
        <w:rPr>
          <w:rFonts w:ascii="Times New Roman" w:hAnsi="Times New Roman" w:cs="Times New Roman"/>
          <w:sz w:val="20"/>
          <w:szCs w:val="20"/>
          <w:lang w:val="en-US"/>
        </w:rPr>
        <w:t xml:space="preserve">in personal finance or financial literacy programs </w:t>
      </w:r>
      <w:r w:rsidR="00C82BE8" w:rsidRPr="00186583">
        <w:rPr>
          <w:rFonts w:ascii="Times New Roman" w:hAnsi="Times New Roman" w:cs="Times New Roman"/>
          <w:sz w:val="20"/>
          <w:szCs w:val="20"/>
          <w:lang w:val="en-US"/>
        </w:rPr>
        <w:t>in</w:t>
      </w:r>
      <w:r w:rsidR="001A646E" w:rsidRPr="00186583">
        <w:rPr>
          <w:rFonts w:ascii="Times New Roman" w:hAnsi="Times New Roman" w:cs="Times New Roman"/>
          <w:sz w:val="20"/>
          <w:szCs w:val="20"/>
          <w:lang w:val="en-US"/>
        </w:rPr>
        <w:t xml:space="preserve"> college. </w:t>
      </w:r>
      <w:r w:rsidR="0035095E">
        <w:rPr>
          <w:rFonts w:ascii="Times New Roman" w:hAnsi="Times New Roman" w:cs="Times New Roman"/>
          <w:sz w:val="20"/>
          <w:szCs w:val="20"/>
          <w:lang w:val="en-US"/>
        </w:rPr>
        <w:t xml:space="preserve"> </w:t>
      </w:r>
    </w:p>
    <w:p w14:paraId="04DB01B0" w14:textId="77777777" w:rsidR="0035095E" w:rsidRPr="00186583" w:rsidRDefault="0035095E" w:rsidP="00C45D4F">
      <w:pPr>
        <w:rPr>
          <w:rFonts w:ascii="Times New Roman" w:hAnsi="Times New Roman" w:cs="Times New Roman"/>
          <w:sz w:val="20"/>
          <w:szCs w:val="20"/>
          <w:lang w:val="en-US"/>
        </w:rPr>
      </w:pPr>
    </w:p>
    <w:p w14:paraId="61B2CB5A" w14:textId="7003981C" w:rsidR="00756088" w:rsidRDefault="00C81EBC" w:rsidP="00C45D4F">
      <w:pPr>
        <w:rPr>
          <w:rFonts w:ascii="Times New Roman" w:hAnsi="Times New Roman" w:cs="Times New Roman"/>
          <w:sz w:val="20"/>
          <w:szCs w:val="20"/>
          <w:lang w:val="en-US"/>
        </w:rPr>
      </w:pPr>
      <w:r w:rsidRPr="00186583">
        <w:rPr>
          <w:rFonts w:ascii="Times New Roman" w:hAnsi="Times New Roman" w:cs="Times New Roman"/>
          <w:sz w:val="20"/>
          <w:szCs w:val="20"/>
          <w:lang w:val="en-US"/>
        </w:rPr>
        <w:t xml:space="preserve">Tax literacy </w:t>
      </w:r>
      <w:r w:rsidR="00982BD5" w:rsidRPr="00186583">
        <w:rPr>
          <w:rFonts w:ascii="Times New Roman" w:hAnsi="Times New Roman" w:cs="Times New Roman"/>
          <w:sz w:val="20"/>
          <w:szCs w:val="20"/>
          <w:lang w:val="en-US"/>
        </w:rPr>
        <w:t>is</w:t>
      </w:r>
      <w:r w:rsidRPr="00186583">
        <w:rPr>
          <w:rFonts w:ascii="Times New Roman" w:hAnsi="Times New Roman" w:cs="Times New Roman"/>
          <w:sz w:val="20"/>
          <w:szCs w:val="20"/>
          <w:lang w:val="en-US"/>
        </w:rPr>
        <w:t xml:space="preserve"> a subset of financial literacy (Chardon</w:t>
      </w:r>
      <w:r w:rsidR="00DE2981" w:rsidRPr="00186583">
        <w:rPr>
          <w:rFonts w:ascii="Times New Roman" w:hAnsi="Times New Roman" w:cs="Times New Roman"/>
          <w:sz w:val="20"/>
          <w:szCs w:val="20"/>
          <w:lang w:val="en-US"/>
        </w:rPr>
        <w:t>,</w:t>
      </w:r>
      <w:r w:rsidRPr="00186583">
        <w:rPr>
          <w:rFonts w:ascii="Times New Roman" w:hAnsi="Times New Roman" w:cs="Times New Roman"/>
          <w:sz w:val="20"/>
          <w:szCs w:val="20"/>
          <w:lang w:val="en-US"/>
        </w:rPr>
        <w:t xml:space="preserve"> 2007)</w:t>
      </w:r>
      <w:r w:rsidR="00656178" w:rsidRPr="00186583">
        <w:rPr>
          <w:rFonts w:ascii="Times New Roman" w:hAnsi="Times New Roman" w:cs="Times New Roman"/>
          <w:sz w:val="20"/>
          <w:szCs w:val="20"/>
          <w:lang w:val="en-US"/>
        </w:rPr>
        <w:t xml:space="preserve">. </w:t>
      </w:r>
      <w:r w:rsidR="00756088" w:rsidRPr="00186583">
        <w:rPr>
          <w:rFonts w:ascii="Times New Roman" w:hAnsi="Times New Roman" w:cs="Times New Roman"/>
          <w:sz w:val="20"/>
          <w:szCs w:val="20"/>
          <w:lang w:val="en-US"/>
        </w:rPr>
        <w:t>Consistent with</w:t>
      </w:r>
      <w:r w:rsidR="00756088" w:rsidRPr="00186583">
        <w:rPr>
          <w:rFonts w:ascii="Times New Roman" w:eastAsia="Times New Roman" w:hAnsi="Times New Roman" w:cs="Times New Roman"/>
          <w:sz w:val="20"/>
          <w:szCs w:val="20"/>
          <w:lang w:val="en-US"/>
        </w:rPr>
        <w:t xml:space="preserve"> the definition of financial literacy, we construe tax literacy as </w:t>
      </w:r>
      <w:r w:rsidR="00756088" w:rsidRPr="00186583">
        <w:rPr>
          <w:rFonts w:ascii="Times New Roman" w:hAnsi="Times New Roman" w:cs="Times New Roman"/>
          <w:sz w:val="20"/>
          <w:szCs w:val="20"/>
          <w:lang w:val="en-US"/>
        </w:rPr>
        <w:t xml:space="preserve">the ability to read and understand basic tax rules and practices for the purpose of tax </w:t>
      </w:r>
      <w:r w:rsidR="00756088" w:rsidRPr="00186583">
        <w:rPr>
          <w:rFonts w:ascii="Times New Roman" w:hAnsi="Times New Roman" w:cs="Times New Roman"/>
          <w:sz w:val="20"/>
          <w:szCs w:val="20"/>
          <w:lang w:val="en-US"/>
        </w:rPr>
        <w:lastRenderedPageBreak/>
        <w:t>compliance and financial planning.</w:t>
      </w:r>
      <w:r w:rsidR="00756088" w:rsidRPr="00186583">
        <w:rPr>
          <w:rStyle w:val="FootnoteReference"/>
          <w:rFonts w:ascii="Times New Roman" w:hAnsi="Times New Roman" w:cs="Times New Roman"/>
          <w:sz w:val="20"/>
          <w:szCs w:val="20"/>
          <w:lang w:val="en-US"/>
        </w:rPr>
        <w:footnoteReference w:id="2"/>
      </w:r>
      <w:r w:rsidR="00756088" w:rsidRPr="00186583">
        <w:rPr>
          <w:rFonts w:ascii="Times New Roman" w:hAnsi="Times New Roman" w:cs="Times New Roman"/>
          <w:sz w:val="20"/>
          <w:szCs w:val="20"/>
          <w:lang w:val="en-US"/>
        </w:rPr>
        <w:t xml:space="preserve"> </w:t>
      </w:r>
      <w:r w:rsidR="002A3127" w:rsidRPr="00186583">
        <w:rPr>
          <w:rFonts w:ascii="Times New Roman" w:hAnsi="Times New Roman" w:cs="Times New Roman"/>
          <w:sz w:val="20"/>
          <w:szCs w:val="20"/>
          <w:lang w:val="en-US"/>
        </w:rPr>
        <w:t>The focus of this research is on federal income tax</w:t>
      </w:r>
      <w:r w:rsidR="00891908" w:rsidRPr="00186583">
        <w:rPr>
          <w:rFonts w:ascii="Times New Roman" w:hAnsi="Times New Roman" w:cs="Times New Roman"/>
          <w:sz w:val="20"/>
          <w:szCs w:val="20"/>
          <w:lang w:val="en-US"/>
        </w:rPr>
        <w:t xml:space="preserve"> on individuals</w:t>
      </w:r>
      <w:r w:rsidR="002A3127" w:rsidRPr="00186583">
        <w:rPr>
          <w:rFonts w:ascii="Times New Roman" w:hAnsi="Times New Roman" w:cs="Times New Roman"/>
          <w:sz w:val="20"/>
          <w:szCs w:val="20"/>
          <w:lang w:val="en-US"/>
        </w:rPr>
        <w:t xml:space="preserve">, which requires taxpayers’ voluntary reporting on an annual basis. </w:t>
      </w:r>
      <w:r w:rsidR="00756088" w:rsidRPr="00186583">
        <w:rPr>
          <w:rFonts w:ascii="Times New Roman" w:hAnsi="Times New Roman" w:cs="Times New Roman"/>
          <w:sz w:val="20"/>
          <w:szCs w:val="20"/>
          <w:lang w:val="en-US"/>
        </w:rPr>
        <w:t xml:space="preserve">Tax literacy includes not only the ability to </w:t>
      </w:r>
      <w:r w:rsidR="00296162" w:rsidRPr="00186583">
        <w:rPr>
          <w:rFonts w:ascii="Times New Roman" w:hAnsi="Times New Roman" w:cs="Times New Roman"/>
          <w:sz w:val="20"/>
          <w:szCs w:val="20"/>
          <w:lang w:val="en-US"/>
        </w:rPr>
        <w:t>file one’s annual tax return</w:t>
      </w:r>
      <w:r w:rsidR="00756088" w:rsidRPr="00186583">
        <w:rPr>
          <w:rFonts w:ascii="Times New Roman" w:hAnsi="Times New Roman" w:cs="Times New Roman"/>
          <w:sz w:val="20"/>
          <w:szCs w:val="20"/>
          <w:lang w:val="en-US"/>
        </w:rPr>
        <w:t>, but also the understanding of taxes and how to apply tax knowledge in the process of wealth accumulation.</w:t>
      </w:r>
      <w:r w:rsidR="0035409D" w:rsidRPr="0035095E">
        <w:rPr>
          <w:rStyle w:val="FootnoteReference"/>
          <w:rFonts w:ascii="Times New Roman" w:hAnsi="Times New Roman" w:cs="Times New Roman"/>
          <w:sz w:val="20"/>
          <w:szCs w:val="20"/>
          <w:lang w:val="en-US"/>
        </w:rPr>
        <w:footnoteReference w:id="3"/>
      </w:r>
      <w:r w:rsidR="00756088" w:rsidRPr="0035095E">
        <w:rPr>
          <w:rFonts w:ascii="Times New Roman" w:hAnsi="Times New Roman" w:cs="Times New Roman"/>
          <w:sz w:val="20"/>
          <w:szCs w:val="20"/>
          <w:lang w:val="en-US"/>
        </w:rPr>
        <w:t xml:space="preserve"> Accordingly, the importance of individuals’ own tax literacy should not be underestimated. Those who are equipped with a basic understanding of tax rules can make tax-efficient decisions to optimize the wealth planning effects. Understanding taxes also supports tax compliance (Eriksen and Fallen, 1996; </w:t>
      </w:r>
      <w:proofErr w:type="spellStart"/>
      <w:r w:rsidR="00756088" w:rsidRPr="0035095E">
        <w:rPr>
          <w:rFonts w:ascii="Times New Roman" w:hAnsi="Times New Roman" w:cs="Times New Roman"/>
          <w:sz w:val="20"/>
          <w:szCs w:val="20"/>
          <w:lang w:val="en-US"/>
        </w:rPr>
        <w:t>Cechovsky</w:t>
      </w:r>
      <w:proofErr w:type="spellEnd"/>
      <w:r w:rsidR="00756088" w:rsidRPr="0035095E">
        <w:rPr>
          <w:rFonts w:ascii="Times New Roman" w:hAnsi="Times New Roman" w:cs="Times New Roman"/>
          <w:sz w:val="20"/>
          <w:szCs w:val="20"/>
          <w:lang w:val="en-US"/>
        </w:rPr>
        <w:t xml:space="preserve">, 2018) and improves trust in the tax system. As stated in its strategic goals, the Internal Revenue Service plans to use education to increase voluntary compliance. Therefore, financial literacy programs should include tax concepts along with financial ones. </w:t>
      </w:r>
      <w:r w:rsidR="0035095E">
        <w:rPr>
          <w:rFonts w:ascii="Times New Roman" w:hAnsi="Times New Roman" w:cs="Times New Roman"/>
          <w:sz w:val="20"/>
          <w:szCs w:val="20"/>
          <w:lang w:val="en-US"/>
        </w:rPr>
        <w:t xml:space="preserve"> </w:t>
      </w:r>
    </w:p>
    <w:p w14:paraId="1D309C50" w14:textId="77777777" w:rsidR="0035095E" w:rsidRPr="0035095E" w:rsidRDefault="0035095E" w:rsidP="00C45D4F">
      <w:pPr>
        <w:rPr>
          <w:rFonts w:ascii="Times New Roman" w:hAnsi="Times New Roman" w:cs="Times New Roman"/>
          <w:sz w:val="20"/>
          <w:szCs w:val="20"/>
          <w:lang w:val="en-US"/>
        </w:rPr>
      </w:pPr>
    </w:p>
    <w:p w14:paraId="6125C59D" w14:textId="14ADCA5A" w:rsidR="00BA0BFF" w:rsidRDefault="009D3E50" w:rsidP="00C45D4F">
      <w:pPr>
        <w:rPr>
          <w:rFonts w:ascii="Times New Roman" w:hAnsi="Times New Roman" w:cs="Times New Roman"/>
          <w:sz w:val="20"/>
          <w:szCs w:val="20"/>
          <w:lang w:val="en-US"/>
        </w:rPr>
      </w:pPr>
      <w:r w:rsidRPr="0035095E">
        <w:rPr>
          <w:rFonts w:ascii="Times New Roman" w:eastAsia="Times New Roman" w:hAnsi="Times New Roman" w:cs="Times New Roman"/>
          <w:sz w:val="20"/>
          <w:szCs w:val="20"/>
          <w:lang w:val="en-US"/>
        </w:rPr>
        <w:t>R</w:t>
      </w:r>
      <w:r w:rsidR="006809B9" w:rsidRPr="0035095E">
        <w:rPr>
          <w:rFonts w:ascii="Times New Roman" w:eastAsia="Times New Roman" w:hAnsi="Times New Roman" w:cs="Times New Roman"/>
          <w:sz w:val="20"/>
          <w:szCs w:val="20"/>
          <w:lang w:val="en-US"/>
        </w:rPr>
        <w:t xml:space="preserve">esearch </w:t>
      </w:r>
      <w:r w:rsidR="00145317" w:rsidRPr="0035095E">
        <w:rPr>
          <w:rFonts w:ascii="Times New Roman" w:eastAsia="Times New Roman" w:hAnsi="Times New Roman" w:cs="Times New Roman"/>
          <w:sz w:val="20"/>
          <w:szCs w:val="20"/>
          <w:lang w:val="en-US"/>
        </w:rPr>
        <w:t>demonstrates</w:t>
      </w:r>
      <w:r w:rsidR="00285731" w:rsidRPr="0035095E">
        <w:rPr>
          <w:rFonts w:ascii="Times New Roman" w:eastAsia="Times New Roman" w:hAnsi="Times New Roman" w:cs="Times New Roman"/>
          <w:sz w:val="20"/>
          <w:szCs w:val="20"/>
          <w:lang w:val="en-US"/>
        </w:rPr>
        <w:t xml:space="preserve"> </w:t>
      </w:r>
      <w:r w:rsidR="006809B9" w:rsidRPr="0035095E">
        <w:rPr>
          <w:rFonts w:ascii="Times New Roman" w:eastAsia="Times New Roman" w:hAnsi="Times New Roman" w:cs="Times New Roman"/>
          <w:sz w:val="20"/>
          <w:szCs w:val="20"/>
          <w:lang w:val="en-US"/>
        </w:rPr>
        <w:t xml:space="preserve">that </w:t>
      </w:r>
      <w:r w:rsidR="000E7D6E" w:rsidRPr="0035095E">
        <w:rPr>
          <w:rFonts w:ascii="Times New Roman" w:eastAsia="Times New Roman" w:hAnsi="Times New Roman" w:cs="Times New Roman"/>
          <w:sz w:val="20"/>
          <w:szCs w:val="20"/>
          <w:lang w:val="en-US"/>
        </w:rPr>
        <w:t xml:space="preserve">obtaining financial knowledge </w:t>
      </w:r>
      <w:r w:rsidR="00285731" w:rsidRPr="0035095E">
        <w:rPr>
          <w:rFonts w:ascii="Times New Roman" w:eastAsia="Times New Roman" w:hAnsi="Times New Roman" w:cs="Times New Roman"/>
          <w:sz w:val="20"/>
          <w:szCs w:val="20"/>
          <w:lang w:val="en-US"/>
        </w:rPr>
        <w:t xml:space="preserve">at a </w:t>
      </w:r>
      <w:r w:rsidR="000E7D6E" w:rsidRPr="0035095E">
        <w:rPr>
          <w:rFonts w:ascii="Times New Roman" w:eastAsia="Times New Roman" w:hAnsi="Times New Roman" w:cs="Times New Roman"/>
          <w:sz w:val="20"/>
          <w:szCs w:val="20"/>
          <w:lang w:val="en-US"/>
        </w:rPr>
        <w:t>young age helps with asset</w:t>
      </w:r>
      <w:r w:rsidR="00285731" w:rsidRPr="0035095E">
        <w:rPr>
          <w:rFonts w:ascii="Times New Roman" w:eastAsia="Times New Roman" w:hAnsi="Times New Roman" w:cs="Times New Roman"/>
          <w:sz w:val="20"/>
          <w:szCs w:val="20"/>
          <w:lang w:val="en-US"/>
        </w:rPr>
        <w:t xml:space="preserve"> </w:t>
      </w:r>
      <w:r w:rsidR="000E7D6E" w:rsidRPr="0035095E">
        <w:rPr>
          <w:rFonts w:ascii="Times New Roman" w:eastAsia="Times New Roman" w:hAnsi="Times New Roman" w:cs="Times New Roman"/>
          <w:sz w:val="20"/>
          <w:szCs w:val="20"/>
          <w:lang w:val="en-US"/>
        </w:rPr>
        <w:t>building (Letkiewicz and Fox, 2014</w:t>
      </w:r>
      <w:r w:rsidR="00EA40C6" w:rsidRPr="0035095E">
        <w:rPr>
          <w:rFonts w:ascii="Times New Roman" w:eastAsia="Times New Roman" w:hAnsi="Times New Roman" w:cs="Times New Roman"/>
          <w:sz w:val="20"/>
          <w:szCs w:val="20"/>
          <w:lang w:val="en-US"/>
        </w:rPr>
        <w:t>)</w:t>
      </w:r>
      <w:r w:rsidR="00FF39D0" w:rsidRPr="0035095E">
        <w:rPr>
          <w:rFonts w:ascii="Times New Roman" w:hAnsi="Times New Roman" w:cs="Times New Roman"/>
          <w:sz w:val="20"/>
          <w:szCs w:val="20"/>
          <w:lang w:val="en-US"/>
        </w:rPr>
        <w:t>.</w:t>
      </w:r>
      <w:r w:rsidR="00A70DC2" w:rsidRPr="0035095E">
        <w:rPr>
          <w:rFonts w:ascii="Times New Roman" w:hAnsi="Times New Roman" w:cs="Times New Roman"/>
          <w:sz w:val="20"/>
          <w:szCs w:val="20"/>
          <w:lang w:val="en-US"/>
        </w:rPr>
        <w:t xml:space="preserve"> </w:t>
      </w:r>
      <w:r w:rsidR="00285731" w:rsidRPr="0035095E">
        <w:rPr>
          <w:rFonts w:ascii="Times New Roman" w:hAnsi="Times New Roman" w:cs="Times New Roman"/>
          <w:sz w:val="20"/>
          <w:szCs w:val="20"/>
          <w:lang w:val="en-US"/>
        </w:rPr>
        <w:t xml:space="preserve">Although </w:t>
      </w:r>
      <w:r w:rsidR="00EA40C6" w:rsidRPr="0035095E">
        <w:rPr>
          <w:rFonts w:ascii="Times New Roman" w:hAnsi="Times New Roman" w:cs="Times New Roman"/>
          <w:sz w:val="20"/>
          <w:szCs w:val="20"/>
          <w:lang w:val="en-US"/>
        </w:rPr>
        <w:t>improving</w:t>
      </w:r>
      <w:r w:rsidR="00AD57A0" w:rsidRPr="0035095E">
        <w:rPr>
          <w:rFonts w:ascii="Times New Roman" w:hAnsi="Times New Roman" w:cs="Times New Roman"/>
          <w:sz w:val="20"/>
          <w:szCs w:val="20"/>
          <w:lang w:val="en-US"/>
        </w:rPr>
        <w:t xml:space="preserve"> the financial literacy of young </w:t>
      </w:r>
      <w:r w:rsidR="00560D4C" w:rsidRPr="0035095E">
        <w:rPr>
          <w:rFonts w:ascii="Times New Roman" w:hAnsi="Times New Roman" w:cs="Times New Roman"/>
          <w:sz w:val="20"/>
          <w:szCs w:val="20"/>
          <w:lang w:val="en-US"/>
        </w:rPr>
        <w:t>adults</w:t>
      </w:r>
      <w:r w:rsidR="00285731" w:rsidRPr="0035095E">
        <w:rPr>
          <w:rFonts w:ascii="Times New Roman" w:hAnsi="Times New Roman" w:cs="Times New Roman"/>
          <w:sz w:val="20"/>
          <w:szCs w:val="20"/>
          <w:lang w:val="en-US"/>
        </w:rPr>
        <w:t xml:space="preserve"> is important</w:t>
      </w:r>
      <w:r w:rsidR="00AD57A0" w:rsidRPr="0035095E">
        <w:rPr>
          <w:rFonts w:ascii="Times New Roman" w:hAnsi="Times New Roman" w:cs="Times New Roman"/>
          <w:sz w:val="20"/>
          <w:szCs w:val="20"/>
          <w:lang w:val="en-US"/>
        </w:rPr>
        <w:t xml:space="preserve">, </w:t>
      </w:r>
      <w:r w:rsidR="0019120B" w:rsidRPr="0035095E">
        <w:rPr>
          <w:rFonts w:ascii="Times New Roman" w:hAnsi="Times New Roman" w:cs="Times New Roman"/>
          <w:sz w:val="20"/>
          <w:szCs w:val="20"/>
          <w:lang w:val="en-US"/>
        </w:rPr>
        <w:t>we argue that inst</w:t>
      </w:r>
      <w:r w:rsidR="006315B5" w:rsidRPr="0035095E">
        <w:rPr>
          <w:rFonts w:ascii="Times New Roman" w:hAnsi="Times New Roman" w:cs="Times New Roman"/>
          <w:sz w:val="20"/>
          <w:szCs w:val="20"/>
          <w:lang w:val="en-US"/>
        </w:rPr>
        <w:t>i</w:t>
      </w:r>
      <w:r w:rsidR="0019120B" w:rsidRPr="0035095E">
        <w:rPr>
          <w:rFonts w:ascii="Times New Roman" w:hAnsi="Times New Roman" w:cs="Times New Roman"/>
          <w:sz w:val="20"/>
          <w:szCs w:val="20"/>
          <w:lang w:val="en-US"/>
        </w:rPr>
        <w:t>ll</w:t>
      </w:r>
      <w:r w:rsidR="00285731" w:rsidRPr="0035095E">
        <w:rPr>
          <w:rFonts w:ascii="Times New Roman" w:hAnsi="Times New Roman" w:cs="Times New Roman"/>
          <w:sz w:val="20"/>
          <w:szCs w:val="20"/>
          <w:lang w:val="en-US"/>
        </w:rPr>
        <w:t>ing</w:t>
      </w:r>
      <w:r w:rsidR="0019120B" w:rsidRPr="0035095E">
        <w:rPr>
          <w:rFonts w:ascii="Times New Roman" w:hAnsi="Times New Roman" w:cs="Times New Roman"/>
          <w:sz w:val="20"/>
          <w:szCs w:val="20"/>
          <w:lang w:val="en-US"/>
        </w:rPr>
        <w:t xml:space="preserve"> basic tax concepts in these young adults</w:t>
      </w:r>
      <w:r w:rsidR="00285731" w:rsidRPr="0035095E">
        <w:rPr>
          <w:rFonts w:ascii="Times New Roman" w:hAnsi="Times New Roman" w:cs="Times New Roman"/>
          <w:sz w:val="20"/>
          <w:szCs w:val="20"/>
          <w:lang w:val="en-US"/>
        </w:rPr>
        <w:t xml:space="preserve"> is equally important</w:t>
      </w:r>
      <w:r w:rsidR="00AF0E5A" w:rsidRPr="0035095E">
        <w:rPr>
          <w:rFonts w:ascii="Times New Roman" w:hAnsi="Times New Roman" w:cs="Times New Roman"/>
          <w:sz w:val="20"/>
          <w:szCs w:val="20"/>
          <w:lang w:val="en-US"/>
        </w:rPr>
        <w:t>.</w:t>
      </w:r>
      <w:r w:rsidR="000B1347" w:rsidRPr="0035095E">
        <w:rPr>
          <w:rFonts w:ascii="Times New Roman" w:hAnsi="Times New Roman" w:cs="Times New Roman"/>
          <w:sz w:val="20"/>
          <w:szCs w:val="20"/>
          <w:lang w:val="en-US"/>
        </w:rPr>
        <w:t xml:space="preserve"> </w:t>
      </w:r>
      <w:r w:rsidR="009E3FFE" w:rsidRPr="0035095E">
        <w:rPr>
          <w:rFonts w:ascii="Times New Roman" w:hAnsi="Times New Roman" w:cs="Times New Roman"/>
          <w:sz w:val="20"/>
          <w:szCs w:val="20"/>
          <w:lang w:val="en-US"/>
        </w:rPr>
        <w:t xml:space="preserve">If young adults start their accumulation of correct tax knowledge, the knowledge may carry forward to full adulthood. If financial literacy at young age helps </w:t>
      </w:r>
      <w:proofErr w:type="gramStart"/>
      <w:r w:rsidR="009E3FFE" w:rsidRPr="0035095E">
        <w:rPr>
          <w:rFonts w:ascii="Times New Roman" w:hAnsi="Times New Roman" w:cs="Times New Roman"/>
          <w:sz w:val="20"/>
          <w:szCs w:val="20"/>
          <w:lang w:val="en-US"/>
        </w:rPr>
        <w:t>building</w:t>
      </w:r>
      <w:proofErr w:type="gramEnd"/>
      <w:r w:rsidR="009E3FFE" w:rsidRPr="0035095E">
        <w:rPr>
          <w:rFonts w:ascii="Times New Roman" w:hAnsi="Times New Roman" w:cs="Times New Roman"/>
          <w:sz w:val="20"/>
          <w:szCs w:val="20"/>
          <w:lang w:val="en-US"/>
        </w:rPr>
        <w:t xml:space="preserve"> financial health (</w:t>
      </w:r>
      <w:r w:rsidR="002E3F52" w:rsidRPr="0035095E">
        <w:rPr>
          <w:rFonts w:ascii="Times New Roman" w:hAnsi="Times New Roman" w:cs="Times New Roman"/>
          <w:sz w:val="20"/>
          <w:szCs w:val="20"/>
          <w:lang w:val="en-US"/>
        </w:rPr>
        <w:t>Krische, 2019</w:t>
      </w:r>
      <w:r w:rsidR="00635B38" w:rsidRPr="0035095E">
        <w:rPr>
          <w:rFonts w:ascii="Times New Roman" w:hAnsi="Times New Roman" w:cs="Times New Roman"/>
          <w:sz w:val="20"/>
          <w:szCs w:val="20"/>
          <w:lang w:val="en-US"/>
        </w:rPr>
        <w:t>, Bernheim, Garrett, and Maki</w:t>
      </w:r>
      <w:r w:rsidR="008D0BC9" w:rsidRPr="0035095E">
        <w:rPr>
          <w:rFonts w:ascii="Times New Roman" w:hAnsi="Times New Roman" w:cs="Times New Roman"/>
          <w:sz w:val="20"/>
          <w:szCs w:val="20"/>
          <w:lang w:val="en-US"/>
        </w:rPr>
        <w:t>,</w:t>
      </w:r>
      <w:r w:rsidR="00635B38" w:rsidRPr="0035095E">
        <w:rPr>
          <w:rFonts w:ascii="Times New Roman" w:hAnsi="Times New Roman" w:cs="Times New Roman"/>
          <w:sz w:val="20"/>
          <w:szCs w:val="20"/>
          <w:lang w:val="en-US"/>
        </w:rPr>
        <w:t xml:space="preserve"> 2001</w:t>
      </w:r>
      <w:r w:rsidR="009E3FFE" w:rsidRPr="0035095E">
        <w:rPr>
          <w:rFonts w:ascii="Times New Roman" w:hAnsi="Times New Roman" w:cs="Times New Roman"/>
          <w:sz w:val="20"/>
          <w:szCs w:val="20"/>
          <w:lang w:val="en-US"/>
        </w:rPr>
        <w:t xml:space="preserve">), tax literacy </w:t>
      </w:r>
      <w:r w:rsidR="00635B38" w:rsidRPr="0035095E">
        <w:rPr>
          <w:rFonts w:ascii="Times New Roman" w:hAnsi="Times New Roman" w:cs="Times New Roman"/>
          <w:sz w:val="20"/>
          <w:szCs w:val="20"/>
          <w:lang w:val="en-US"/>
        </w:rPr>
        <w:t>at young age c</w:t>
      </w:r>
      <w:r w:rsidR="008D0BC9" w:rsidRPr="0035095E">
        <w:rPr>
          <w:rFonts w:ascii="Times New Roman" w:hAnsi="Times New Roman" w:cs="Times New Roman"/>
          <w:sz w:val="20"/>
          <w:szCs w:val="20"/>
          <w:lang w:val="en-US"/>
        </w:rPr>
        <w:t>ould also help them to</w:t>
      </w:r>
      <w:r w:rsidR="009E3FFE" w:rsidRPr="0035095E">
        <w:rPr>
          <w:rFonts w:ascii="Times New Roman" w:hAnsi="Times New Roman" w:cs="Times New Roman"/>
          <w:sz w:val="20"/>
          <w:szCs w:val="20"/>
          <w:lang w:val="en-US"/>
        </w:rPr>
        <w:t xml:space="preserve"> </w:t>
      </w:r>
      <w:r w:rsidR="00635B38" w:rsidRPr="0035095E">
        <w:rPr>
          <w:rFonts w:ascii="Times New Roman" w:hAnsi="Times New Roman" w:cs="Times New Roman"/>
          <w:sz w:val="20"/>
          <w:szCs w:val="20"/>
          <w:lang w:val="en-US"/>
        </w:rPr>
        <w:t>better</w:t>
      </w:r>
      <w:r w:rsidR="009E3FFE" w:rsidRPr="0035095E">
        <w:rPr>
          <w:rFonts w:ascii="Times New Roman" w:hAnsi="Times New Roman" w:cs="Times New Roman"/>
          <w:sz w:val="20"/>
          <w:szCs w:val="20"/>
          <w:lang w:val="en-US"/>
        </w:rPr>
        <w:t xml:space="preserve"> handl</w:t>
      </w:r>
      <w:r w:rsidR="008D0BC9" w:rsidRPr="0035095E">
        <w:rPr>
          <w:rFonts w:ascii="Times New Roman" w:hAnsi="Times New Roman" w:cs="Times New Roman"/>
          <w:sz w:val="20"/>
          <w:szCs w:val="20"/>
          <w:lang w:val="en-US"/>
        </w:rPr>
        <w:t>e</w:t>
      </w:r>
      <w:r w:rsidR="009E3FFE" w:rsidRPr="0035095E">
        <w:rPr>
          <w:rFonts w:ascii="Times New Roman" w:hAnsi="Times New Roman" w:cs="Times New Roman"/>
          <w:sz w:val="20"/>
          <w:szCs w:val="20"/>
          <w:lang w:val="en-US"/>
        </w:rPr>
        <w:t xml:space="preserve"> tax matters</w:t>
      </w:r>
      <w:r w:rsidR="00635B38" w:rsidRPr="0035095E">
        <w:rPr>
          <w:rFonts w:ascii="Times New Roman" w:hAnsi="Times New Roman" w:cs="Times New Roman"/>
          <w:sz w:val="20"/>
          <w:szCs w:val="20"/>
          <w:lang w:val="en-US"/>
        </w:rPr>
        <w:t xml:space="preserve"> in the future</w:t>
      </w:r>
      <w:r w:rsidR="009E3FFE" w:rsidRPr="0035095E">
        <w:rPr>
          <w:rFonts w:ascii="Times New Roman" w:hAnsi="Times New Roman" w:cs="Times New Roman"/>
          <w:sz w:val="20"/>
          <w:szCs w:val="20"/>
          <w:lang w:val="en-US"/>
        </w:rPr>
        <w:t xml:space="preserve">. </w:t>
      </w:r>
      <w:r w:rsidR="000B1347" w:rsidRPr="0035095E">
        <w:rPr>
          <w:rFonts w:ascii="Times New Roman" w:hAnsi="Times New Roman" w:cs="Times New Roman"/>
          <w:sz w:val="20"/>
          <w:szCs w:val="20"/>
          <w:lang w:val="en-US"/>
        </w:rPr>
        <w:t>While financial literacy programs have been gradually adopted in schools over the years, there is no evidence showing whether young adults also gain tax literacy from these programs.</w:t>
      </w:r>
      <w:r w:rsidR="00560D4C" w:rsidRPr="0035095E">
        <w:rPr>
          <w:rFonts w:ascii="Times New Roman" w:hAnsi="Times New Roman" w:cs="Times New Roman"/>
          <w:sz w:val="20"/>
          <w:szCs w:val="20"/>
          <w:lang w:val="en-US"/>
        </w:rPr>
        <w:t xml:space="preserve"> Even for </w:t>
      </w:r>
      <w:r w:rsidR="0065702A" w:rsidRPr="0035095E">
        <w:rPr>
          <w:rFonts w:ascii="Times New Roman" w:hAnsi="Times New Roman" w:cs="Times New Roman"/>
          <w:sz w:val="20"/>
          <w:szCs w:val="20"/>
          <w:lang w:val="en-US"/>
        </w:rPr>
        <w:t xml:space="preserve">business </w:t>
      </w:r>
      <w:r w:rsidR="00560D4C" w:rsidRPr="0035095E">
        <w:rPr>
          <w:rFonts w:ascii="Times New Roman" w:hAnsi="Times New Roman" w:cs="Times New Roman"/>
          <w:sz w:val="20"/>
          <w:szCs w:val="20"/>
          <w:lang w:val="en-US"/>
        </w:rPr>
        <w:t xml:space="preserve">students in </w:t>
      </w:r>
      <w:r w:rsidR="0065702A" w:rsidRPr="0035095E">
        <w:rPr>
          <w:rFonts w:ascii="Times New Roman" w:hAnsi="Times New Roman" w:cs="Times New Roman"/>
          <w:sz w:val="20"/>
          <w:szCs w:val="20"/>
          <w:lang w:val="en-US"/>
        </w:rPr>
        <w:t>college and universities,</w:t>
      </w:r>
      <w:r w:rsidR="00560D4C" w:rsidRPr="0035095E">
        <w:rPr>
          <w:rFonts w:ascii="Times New Roman" w:hAnsi="Times New Roman" w:cs="Times New Roman"/>
          <w:sz w:val="20"/>
          <w:szCs w:val="20"/>
          <w:lang w:val="en-US"/>
        </w:rPr>
        <w:t xml:space="preserve"> there is little evidence </w:t>
      </w:r>
      <w:r w:rsidR="000A453A" w:rsidRPr="0035095E">
        <w:rPr>
          <w:rFonts w:ascii="Times New Roman" w:hAnsi="Times New Roman" w:cs="Times New Roman"/>
          <w:sz w:val="20"/>
          <w:szCs w:val="20"/>
          <w:lang w:val="en-US"/>
        </w:rPr>
        <w:t xml:space="preserve">of </w:t>
      </w:r>
      <w:r w:rsidR="00560D4C" w:rsidRPr="0035095E">
        <w:rPr>
          <w:rFonts w:ascii="Times New Roman" w:hAnsi="Times New Roman" w:cs="Times New Roman"/>
          <w:sz w:val="20"/>
          <w:szCs w:val="20"/>
          <w:lang w:val="en-US"/>
        </w:rPr>
        <w:t xml:space="preserve">whether </w:t>
      </w:r>
      <w:r w:rsidR="0065702A" w:rsidRPr="0035095E">
        <w:rPr>
          <w:rFonts w:ascii="Times New Roman" w:hAnsi="Times New Roman" w:cs="Times New Roman"/>
          <w:sz w:val="20"/>
          <w:szCs w:val="20"/>
          <w:lang w:val="en-US"/>
        </w:rPr>
        <w:t>these students have better</w:t>
      </w:r>
      <w:r w:rsidR="00560D4C" w:rsidRPr="0035095E">
        <w:rPr>
          <w:rFonts w:ascii="Times New Roman" w:hAnsi="Times New Roman" w:cs="Times New Roman"/>
          <w:sz w:val="20"/>
          <w:szCs w:val="20"/>
          <w:lang w:val="en-US"/>
        </w:rPr>
        <w:t xml:space="preserve"> tax literacy.</w:t>
      </w:r>
      <w:r w:rsidR="0035095E">
        <w:rPr>
          <w:rFonts w:ascii="Times New Roman" w:hAnsi="Times New Roman" w:cs="Times New Roman"/>
          <w:sz w:val="20"/>
          <w:szCs w:val="20"/>
          <w:lang w:val="en-US"/>
        </w:rPr>
        <w:t xml:space="preserve">  </w:t>
      </w:r>
    </w:p>
    <w:p w14:paraId="750DEE8D" w14:textId="77777777" w:rsidR="0035095E" w:rsidRPr="0035095E" w:rsidRDefault="0035095E" w:rsidP="00C45D4F">
      <w:pPr>
        <w:rPr>
          <w:rFonts w:ascii="Times New Roman" w:hAnsi="Times New Roman" w:cs="Times New Roman"/>
          <w:sz w:val="20"/>
          <w:szCs w:val="20"/>
          <w:lang w:val="en-US"/>
        </w:rPr>
      </w:pPr>
    </w:p>
    <w:p w14:paraId="5C6A5A49" w14:textId="1B5B4E92" w:rsidR="001B66B4" w:rsidRDefault="00BA0BFF" w:rsidP="00C45D4F">
      <w:pPr>
        <w:rPr>
          <w:rFonts w:ascii="Times New Roman" w:hAnsi="Times New Roman" w:cs="Times New Roman"/>
          <w:sz w:val="20"/>
          <w:szCs w:val="20"/>
          <w:lang w:val="en-US"/>
        </w:rPr>
      </w:pPr>
      <w:r w:rsidRPr="0035095E">
        <w:rPr>
          <w:rFonts w:ascii="Times New Roman" w:hAnsi="Times New Roman" w:cs="Times New Roman"/>
          <w:sz w:val="20"/>
          <w:szCs w:val="20"/>
          <w:lang w:val="en-US"/>
        </w:rPr>
        <w:t xml:space="preserve">While actual tax knowledge is important for making financial decisions, perceived tax knowledge, or tax confidence, also plays a central role. Financial literacy research suggests that consumers’ financial confidence is at least as influential in financial satisfaction as actual financial knowledge (Woodyard and Robb, 2016). Similarly, confidence in handling tax matters also affects tax compliance and tax planning. Masselli et al. (2002) report that tax confidence affects taxpayers’ tax-reporting behavior. With the complexity of the US tax rules, whether the delivery of tax courses in colleges and universities is helpful in fostering students’ tax confidence is important to educators. </w:t>
      </w:r>
      <w:r w:rsidR="00B01B9E" w:rsidRPr="0035095E">
        <w:rPr>
          <w:rFonts w:ascii="Times New Roman" w:hAnsi="Times New Roman" w:cs="Times New Roman"/>
          <w:sz w:val="20"/>
          <w:szCs w:val="20"/>
          <w:lang w:val="en-US"/>
        </w:rPr>
        <w:t>C</w:t>
      </w:r>
      <w:r w:rsidR="00515EFE" w:rsidRPr="0035095E">
        <w:rPr>
          <w:rFonts w:ascii="Times New Roman" w:hAnsi="Times New Roman" w:cs="Times New Roman"/>
          <w:sz w:val="20"/>
          <w:szCs w:val="20"/>
          <w:lang w:val="en-US"/>
        </w:rPr>
        <w:t xml:space="preserve">ollege educators </w:t>
      </w:r>
      <w:r w:rsidR="00B01B9E" w:rsidRPr="0035095E">
        <w:rPr>
          <w:rFonts w:ascii="Times New Roman" w:hAnsi="Times New Roman" w:cs="Times New Roman"/>
          <w:sz w:val="20"/>
          <w:szCs w:val="20"/>
          <w:lang w:val="en-US"/>
        </w:rPr>
        <w:t xml:space="preserve">can use such information </w:t>
      </w:r>
      <w:r w:rsidR="00515EFE" w:rsidRPr="0035095E">
        <w:rPr>
          <w:rFonts w:ascii="Times New Roman" w:hAnsi="Times New Roman" w:cs="Times New Roman"/>
          <w:sz w:val="20"/>
          <w:szCs w:val="20"/>
          <w:lang w:val="en-US"/>
        </w:rPr>
        <w:t xml:space="preserve">to adjust the curriculum </w:t>
      </w:r>
      <w:r w:rsidR="00425143" w:rsidRPr="0035095E">
        <w:rPr>
          <w:rFonts w:ascii="Times New Roman" w:hAnsi="Times New Roman" w:cs="Times New Roman"/>
          <w:sz w:val="20"/>
          <w:szCs w:val="20"/>
          <w:lang w:val="en-US"/>
        </w:rPr>
        <w:t>and</w:t>
      </w:r>
      <w:r w:rsidR="00515EFE" w:rsidRPr="0035095E">
        <w:rPr>
          <w:rFonts w:ascii="Times New Roman" w:hAnsi="Times New Roman" w:cs="Times New Roman"/>
          <w:sz w:val="20"/>
          <w:szCs w:val="20"/>
          <w:lang w:val="en-US"/>
        </w:rPr>
        <w:t xml:space="preserve"> extracurricular activit</w:t>
      </w:r>
      <w:r w:rsidR="00C2310F" w:rsidRPr="0035095E">
        <w:rPr>
          <w:rFonts w:ascii="Times New Roman" w:hAnsi="Times New Roman" w:cs="Times New Roman"/>
          <w:sz w:val="20"/>
          <w:szCs w:val="20"/>
          <w:lang w:val="en-US"/>
        </w:rPr>
        <w:t xml:space="preserve">ies </w:t>
      </w:r>
      <w:r w:rsidR="006107E8" w:rsidRPr="0035095E">
        <w:rPr>
          <w:rFonts w:ascii="Times New Roman" w:hAnsi="Times New Roman" w:cs="Times New Roman"/>
          <w:sz w:val="20"/>
          <w:szCs w:val="20"/>
          <w:lang w:val="en-US"/>
        </w:rPr>
        <w:t>so that they can transfer</w:t>
      </w:r>
      <w:r w:rsidR="00222F7D" w:rsidRPr="0035095E">
        <w:rPr>
          <w:rFonts w:ascii="Times New Roman" w:hAnsi="Times New Roman" w:cs="Times New Roman"/>
          <w:sz w:val="20"/>
          <w:szCs w:val="20"/>
          <w:lang w:val="en-US"/>
        </w:rPr>
        <w:t xml:space="preserve"> tax </w:t>
      </w:r>
      <w:r w:rsidR="00C2310F" w:rsidRPr="0035095E">
        <w:rPr>
          <w:rFonts w:ascii="Times New Roman" w:hAnsi="Times New Roman" w:cs="Times New Roman"/>
          <w:sz w:val="20"/>
          <w:szCs w:val="20"/>
          <w:lang w:val="en-US"/>
        </w:rPr>
        <w:t>knowledge</w:t>
      </w:r>
      <w:r w:rsidR="00222F7D" w:rsidRPr="0035095E">
        <w:rPr>
          <w:rFonts w:ascii="Times New Roman" w:hAnsi="Times New Roman" w:cs="Times New Roman"/>
          <w:sz w:val="20"/>
          <w:szCs w:val="20"/>
          <w:lang w:val="en-US"/>
        </w:rPr>
        <w:t xml:space="preserve"> </w:t>
      </w:r>
      <w:r w:rsidR="006107E8" w:rsidRPr="0035095E">
        <w:rPr>
          <w:rFonts w:ascii="Times New Roman" w:hAnsi="Times New Roman" w:cs="Times New Roman"/>
          <w:sz w:val="20"/>
          <w:szCs w:val="20"/>
          <w:lang w:val="en-US"/>
        </w:rPr>
        <w:t>and</w:t>
      </w:r>
      <w:r w:rsidR="00515EFE" w:rsidRPr="0035095E">
        <w:rPr>
          <w:rFonts w:ascii="Times New Roman" w:hAnsi="Times New Roman" w:cs="Times New Roman"/>
          <w:sz w:val="20"/>
          <w:szCs w:val="20"/>
          <w:lang w:val="en-US"/>
        </w:rPr>
        <w:t xml:space="preserve"> facilitate students’ future financial success</w:t>
      </w:r>
      <w:r w:rsidR="00772875" w:rsidRPr="0035095E">
        <w:rPr>
          <w:rFonts w:ascii="Times New Roman" w:hAnsi="Times New Roman" w:cs="Times New Roman"/>
          <w:sz w:val="20"/>
          <w:szCs w:val="20"/>
          <w:lang w:val="en-US"/>
        </w:rPr>
        <w:t>.</w:t>
      </w:r>
      <w:r w:rsidR="00011A9C" w:rsidRPr="0035095E">
        <w:rPr>
          <w:rFonts w:ascii="Times New Roman" w:hAnsi="Times New Roman" w:cs="Times New Roman"/>
          <w:sz w:val="20"/>
          <w:szCs w:val="20"/>
          <w:lang w:val="en-US"/>
        </w:rPr>
        <w:t xml:space="preserve"> We </w:t>
      </w:r>
      <w:r w:rsidRPr="0035095E">
        <w:rPr>
          <w:rFonts w:ascii="Times New Roman" w:hAnsi="Times New Roman" w:cs="Times New Roman"/>
          <w:sz w:val="20"/>
          <w:szCs w:val="20"/>
          <w:lang w:val="en-US"/>
        </w:rPr>
        <w:t>argue</w:t>
      </w:r>
      <w:r w:rsidR="00011A9C" w:rsidRPr="0035095E">
        <w:rPr>
          <w:rFonts w:ascii="Times New Roman" w:hAnsi="Times New Roman" w:cs="Times New Roman"/>
          <w:sz w:val="20"/>
          <w:szCs w:val="20"/>
          <w:lang w:val="en-US"/>
        </w:rPr>
        <w:t xml:space="preserve"> that the best time to educate the </w:t>
      </w:r>
      <w:proofErr w:type="gramStart"/>
      <w:r w:rsidR="00011A9C" w:rsidRPr="0035095E">
        <w:rPr>
          <w:rFonts w:ascii="Times New Roman" w:hAnsi="Times New Roman" w:cs="Times New Roman"/>
          <w:sz w:val="20"/>
          <w:szCs w:val="20"/>
          <w:lang w:val="en-US"/>
        </w:rPr>
        <w:t>general public</w:t>
      </w:r>
      <w:proofErr w:type="gramEnd"/>
      <w:r w:rsidR="00011A9C" w:rsidRPr="0035095E">
        <w:rPr>
          <w:rFonts w:ascii="Times New Roman" w:hAnsi="Times New Roman" w:cs="Times New Roman"/>
          <w:sz w:val="20"/>
          <w:szCs w:val="20"/>
          <w:lang w:val="en-US"/>
        </w:rPr>
        <w:t xml:space="preserve"> about tax concepts is in college years. This is because </w:t>
      </w:r>
      <w:proofErr w:type="gramStart"/>
      <w:r w:rsidR="00011A9C" w:rsidRPr="0035095E">
        <w:rPr>
          <w:rFonts w:ascii="Times New Roman" w:hAnsi="Times New Roman" w:cs="Times New Roman"/>
          <w:sz w:val="20"/>
          <w:szCs w:val="20"/>
          <w:lang w:val="en-US"/>
        </w:rPr>
        <w:t>the majority of</w:t>
      </w:r>
      <w:proofErr w:type="gramEnd"/>
      <w:r w:rsidR="00011A9C" w:rsidRPr="0035095E">
        <w:rPr>
          <w:rFonts w:ascii="Times New Roman" w:hAnsi="Times New Roman" w:cs="Times New Roman"/>
          <w:sz w:val="20"/>
          <w:szCs w:val="20"/>
          <w:lang w:val="en-US"/>
        </w:rPr>
        <w:t xml:space="preserve"> Americans receive some level of college education and the trend is growing over the years (US Census Bureau 2022). Young adults start to be exposed to tax returns in college years, and </w:t>
      </w:r>
      <w:r w:rsidR="00B329C3" w:rsidRPr="0035095E">
        <w:rPr>
          <w:rFonts w:ascii="Times New Roman" w:hAnsi="Times New Roman" w:cs="Times New Roman"/>
          <w:sz w:val="20"/>
          <w:szCs w:val="20"/>
          <w:lang w:val="en-US"/>
        </w:rPr>
        <w:t xml:space="preserve">thus, </w:t>
      </w:r>
      <w:r w:rsidR="00011A9C" w:rsidRPr="0035095E">
        <w:rPr>
          <w:rFonts w:ascii="Times New Roman" w:hAnsi="Times New Roman" w:cs="Times New Roman"/>
          <w:sz w:val="20"/>
          <w:szCs w:val="20"/>
          <w:lang w:val="en-US"/>
        </w:rPr>
        <w:t>they are more suitable to tax education than students in high schools.</w:t>
      </w:r>
      <w:r w:rsidR="0035095E">
        <w:rPr>
          <w:rFonts w:ascii="Times New Roman" w:hAnsi="Times New Roman" w:cs="Times New Roman"/>
          <w:sz w:val="20"/>
          <w:szCs w:val="20"/>
          <w:lang w:val="en-US"/>
        </w:rPr>
        <w:t xml:space="preserve">  </w:t>
      </w:r>
    </w:p>
    <w:p w14:paraId="28479C43" w14:textId="77777777" w:rsidR="0035095E" w:rsidRPr="0035095E" w:rsidRDefault="0035095E" w:rsidP="00C45D4F">
      <w:pPr>
        <w:rPr>
          <w:rFonts w:ascii="Times New Roman" w:hAnsi="Times New Roman" w:cs="Times New Roman"/>
          <w:sz w:val="20"/>
          <w:szCs w:val="20"/>
          <w:lang w:val="en-US"/>
        </w:rPr>
      </w:pPr>
    </w:p>
    <w:p w14:paraId="30CB6306" w14:textId="28DD6A08" w:rsidR="006B1726" w:rsidRDefault="006B1726" w:rsidP="00C45D4F">
      <w:pPr>
        <w:rPr>
          <w:rFonts w:ascii="Times New Roman" w:hAnsi="Times New Roman" w:cs="Times New Roman"/>
          <w:sz w:val="20"/>
          <w:szCs w:val="20"/>
          <w:lang w:val="en-US"/>
        </w:rPr>
      </w:pPr>
      <w:r w:rsidRPr="0035095E">
        <w:rPr>
          <w:rFonts w:ascii="Times New Roman" w:hAnsi="Times New Roman" w:cs="Times New Roman"/>
          <w:sz w:val="20"/>
          <w:szCs w:val="20"/>
          <w:lang w:val="en-US"/>
        </w:rPr>
        <w:t xml:space="preserve">Another reason </w:t>
      </w:r>
      <w:r w:rsidR="00296162" w:rsidRPr="0035095E">
        <w:rPr>
          <w:rFonts w:ascii="Times New Roman" w:hAnsi="Times New Roman" w:cs="Times New Roman"/>
          <w:sz w:val="20"/>
          <w:szCs w:val="20"/>
          <w:lang w:val="en-US"/>
        </w:rPr>
        <w:t>that we</w:t>
      </w:r>
      <w:r w:rsidRPr="0035095E">
        <w:rPr>
          <w:rFonts w:ascii="Times New Roman" w:hAnsi="Times New Roman" w:cs="Times New Roman"/>
          <w:sz w:val="20"/>
          <w:szCs w:val="20"/>
          <w:lang w:val="en-US"/>
        </w:rPr>
        <w:t xml:space="preserve"> choose college students in </w:t>
      </w:r>
      <w:r w:rsidR="00B329C3" w:rsidRPr="0035095E">
        <w:rPr>
          <w:rFonts w:ascii="Times New Roman" w:hAnsi="Times New Roman" w:cs="Times New Roman"/>
          <w:sz w:val="20"/>
          <w:szCs w:val="20"/>
          <w:lang w:val="en-US"/>
        </w:rPr>
        <w:t xml:space="preserve">this </w:t>
      </w:r>
      <w:r w:rsidRPr="0035095E">
        <w:rPr>
          <w:rFonts w:ascii="Times New Roman" w:hAnsi="Times New Roman" w:cs="Times New Roman"/>
          <w:sz w:val="20"/>
          <w:szCs w:val="20"/>
          <w:lang w:val="en-US"/>
        </w:rPr>
        <w:t xml:space="preserve">tax literacy analysis is because some students in college have received formal tax education (i.e., junior and/or senior accounting majors) and most have not (non-accounting majors). In addition, some students have taken non-tax accounting courses but not tax courses. Since tax reporting also uses accounting skills (such as the concept of profit and loss), it is unclear whether </w:t>
      </w:r>
      <w:r w:rsidR="00B329C3" w:rsidRPr="0035095E">
        <w:rPr>
          <w:rFonts w:ascii="Times New Roman" w:hAnsi="Times New Roman" w:cs="Times New Roman"/>
          <w:sz w:val="20"/>
          <w:szCs w:val="20"/>
          <w:lang w:val="en-US"/>
        </w:rPr>
        <w:t xml:space="preserve">the </w:t>
      </w:r>
      <w:r w:rsidRPr="0035095E">
        <w:rPr>
          <w:rFonts w:ascii="Times New Roman" w:hAnsi="Times New Roman" w:cs="Times New Roman"/>
          <w:sz w:val="20"/>
          <w:szCs w:val="20"/>
          <w:lang w:val="en-US"/>
        </w:rPr>
        <w:t>students who have taken non-tax accounting courses but no</w:t>
      </w:r>
      <w:r w:rsidR="005A1279" w:rsidRPr="0035095E">
        <w:rPr>
          <w:rFonts w:ascii="Times New Roman" w:hAnsi="Times New Roman" w:cs="Times New Roman"/>
          <w:sz w:val="20"/>
          <w:szCs w:val="20"/>
          <w:lang w:val="en-US"/>
        </w:rPr>
        <w:t>t</w:t>
      </w:r>
      <w:r w:rsidRPr="0035095E">
        <w:rPr>
          <w:rFonts w:ascii="Times New Roman" w:hAnsi="Times New Roman" w:cs="Times New Roman"/>
          <w:sz w:val="20"/>
          <w:szCs w:val="20"/>
          <w:lang w:val="en-US"/>
        </w:rPr>
        <w:t xml:space="preserve"> tax course have better tax literacy or more tax confident than those who have not taken </w:t>
      </w:r>
      <w:proofErr w:type="gramStart"/>
      <w:r w:rsidRPr="0035095E">
        <w:rPr>
          <w:rFonts w:ascii="Times New Roman" w:hAnsi="Times New Roman" w:cs="Times New Roman"/>
          <w:sz w:val="20"/>
          <w:szCs w:val="20"/>
          <w:lang w:val="en-US"/>
        </w:rPr>
        <w:t>either courses</w:t>
      </w:r>
      <w:proofErr w:type="gramEnd"/>
      <w:r w:rsidRPr="0035095E">
        <w:rPr>
          <w:rFonts w:ascii="Times New Roman" w:hAnsi="Times New Roman" w:cs="Times New Roman"/>
          <w:sz w:val="20"/>
          <w:szCs w:val="20"/>
          <w:lang w:val="en-US"/>
        </w:rPr>
        <w:t>. More importantly, many college students have filed tax returns</w:t>
      </w:r>
      <w:r w:rsidR="00B329C3" w:rsidRPr="0035095E">
        <w:rPr>
          <w:rFonts w:ascii="Times New Roman" w:hAnsi="Times New Roman" w:cs="Times New Roman"/>
          <w:sz w:val="20"/>
          <w:szCs w:val="20"/>
          <w:lang w:val="en-US"/>
        </w:rPr>
        <w:t xml:space="preserve"> in some way</w:t>
      </w:r>
      <w:r w:rsidRPr="0035095E">
        <w:rPr>
          <w:rFonts w:ascii="Times New Roman" w:hAnsi="Times New Roman" w:cs="Times New Roman"/>
          <w:sz w:val="20"/>
          <w:szCs w:val="20"/>
          <w:lang w:val="en-US"/>
        </w:rPr>
        <w:t xml:space="preserve">. </w:t>
      </w:r>
      <w:r w:rsidR="00A11B4A" w:rsidRPr="0035095E">
        <w:rPr>
          <w:rFonts w:ascii="Times New Roman" w:hAnsi="Times New Roman" w:cs="Times New Roman"/>
          <w:sz w:val="20"/>
          <w:szCs w:val="20"/>
          <w:lang w:val="en-US"/>
        </w:rPr>
        <w:t>Using college students as the s</w:t>
      </w:r>
      <w:r w:rsidRPr="0035095E">
        <w:rPr>
          <w:rFonts w:ascii="Times New Roman" w:hAnsi="Times New Roman" w:cs="Times New Roman"/>
          <w:sz w:val="20"/>
          <w:szCs w:val="20"/>
          <w:lang w:val="en-US"/>
        </w:rPr>
        <w:t>ample allows us to separately examine the effect of tax education and non-tax accounting education on tax literacy and tax confidence.</w:t>
      </w:r>
      <w:r w:rsidR="0035095E">
        <w:rPr>
          <w:rFonts w:ascii="Times New Roman" w:hAnsi="Times New Roman" w:cs="Times New Roman"/>
          <w:sz w:val="20"/>
          <w:szCs w:val="20"/>
          <w:lang w:val="en-US"/>
        </w:rPr>
        <w:t xml:space="preserve">  </w:t>
      </w:r>
    </w:p>
    <w:p w14:paraId="5013FA4B" w14:textId="77777777" w:rsidR="0035095E" w:rsidRPr="0035095E" w:rsidRDefault="0035095E" w:rsidP="00C45D4F">
      <w:pPr>
        <w:rPr>
          <w:rFonts w:ascii="Times New Roman" w:hAnsi="Times New Roman" w:cs="Times New Roman"/>
          <w:sz w:val="20"/>
          <w:szCs w:val="20"/>
          <w:lang w:val="en-US"/>
        </w:rPr>
      </w:pPr>
    </w:p>
    <w:p w14:paraId="13C2108F" w14:textId="335AD27A" w:rsidR="006C10C7" w:rsidRDefault="006B1726" w:rsidP="00C45D4F">
      <w:pPr>
        <w:rPr>
          <w:rFonts w:ascii="Times New Roman" w:hAnsi="Times New Roman" w:cs="Times New Roman"/>
          <w:sz w:val="20"/>
          <w:szCs w:val="20"/>
          <w:lang w:val="en-US"/>
        </w:rPr>
      </w:pPr>
      <w:r w:rsidRPr="0035095E">
        <w:rPr>
          <w:rFonts w:ascii="Times New Roman" w:hAnsi="Times New Roman" w:cs="Times New Roman"/>
          <w:sz w:val="20"/>
          <w:szCs w:val="20"/>
          <w:lang w:val="en-US"/>
        </w:rPr>
        <w:t xml:space="preserve">This study surveyed undergraduate students at a private college in New York City from 2020 to 2022 and collected 145 useful responses. </w:t>
      </w:r>
      <w:r w:rsidR="00061321" w:rsidRPr="0035095E">
        <w:rPr>
          <w:rFonts w:ascii="Times New Roman" w:hAnsi="Times New Roman" w:cs="Times New Roman"/>
          <w:sz w:val="20"/>
          <w:szCs w:val="20"/>
          <w:lang w:val="en-US"/>
        </w:rPr>
        <w:t>According to t</w:t>
      </w:r>
      <w:r w:rsidR="00222F7D" w:rsidRPr="0035095E">
        <w:rPr>
          <w:rFonts w:ascii="Times New Roman" w:hAnsi="Times New Roman" w:cs="Times New Roman"/>
          <w:sz w:val="20"/>
          <w:szCs w:val="20"/>
          <w:lang w:val="en-US"/>
        </w:rPr>
        <w:t>he findings</w:t>
      </w:r>
      <w:r w:rsidR="0033272A" w:rsidRPr="0035095E">
        <w:rPr>
          <w:rFonts w:ascii="Times New Roman" w:hAnsi="Times New Roman" w:cs="Times New Roman"/>
          <w:sz w:val="20"/>
          <w:szCs w:val="20"/>
          <w:lang w:val="en-US"/>
        </w:rPr>
        <w:t>,</w:t>
      </w:r>
      <w:r w:rsidR="00EE33DB" w:rsidRPr="0035095E">
        <w:rPr>
          <w:rFonts w:ascii="Times New Roman" w:hAnsi="Times New Roman" w:cs="Times New Roman"/>
          <w:sz w:val="20"/>
          <w:szCs w:val="20"/>
          <w:lang w:val="en-US"/>
        </w:rPr>
        <w:t xml:space="preserve"> participants cannot answer more than 50% of the tax questions correctly.</w:t>
      </w:r>
      <w:r w:rsidR="00222F7D" w:rsidRPr="0035095E">
        <w:rPr>
          <w:rFonts w:ascii="Times New Roman" w:hAnsi="Times New Roman" w:cs="Times New Roman"/>
          <w:sz w:val="20"/>
          <w:szCs w:val="20"/>
          <w:lang w:val="en-US"/>
        </w:rPr>
        <w:t xml:space="preserve"> </w:t>
      </w:r>
      <w:r w:rsidR="00EE33DB" w:rsidRPr="0035095E">
        <w:rPr>
          <w:rFonts w:ascii="Times New Roman" w:hAnsi="Times New Roman" w:cs="Times New Roman"/>
          <w:sz w:val="20"/>
          <w:szCs w:val="20"/>
          <w:lang w:val="en-US"/>
        </w:rPr>
        <w:t xml:space="preserve">We also find that </w:t>
      </w:r>
      <w:r w:rsidR="003575B5" w:rsidRPr="0035095E">
        <w:rPr>
          <w:rFonts w:ascii="Times New Roman" w:hAnsi="Times New Roman" w:cs="Times New Roman"/>
          <w:sz w:val="20"/>
          <w:szCs w:val="20"/>
          <w:lang w:val="en-US"/>
        </w:rPr>
        <w:t>tax literacy is positively correlated with</w:t>
      </w:r>
      <w:r w:rsidR="00C63DFE" w:rsidRPr="0035095E">
        <w:rPr>
          <w:rFonts w:ascii="Times New Roman" w:hAnsi="Times New Roman" w:cs="Times New Roman"/>
          <w:sz w:val="20"/>
          <w:szCs w:val="20"/>
          <w:lang w:val="en-US"/>
        </w:rPr>
        <w:t xml:space="preserve"> </w:t>
      </w:r>
      <w:r w:rsidR="009A1472" w:rsidRPr="0035095E">
        <w:rPr>
          <w:rFonts w:ascii="Times New Roman" w:hAnsi="Times New Roman" w:cs="Times New Roman"/>
          <w:sz w:val="20"/>
          <w:szCs w:val="20"/>
          <w:lang w:val="en-US"/>
        </w:rPr>
        <w:t>students’ financial literacy</w:t>
      </w:r>
      <w:r w:rsidR="00B4721A" w:rsidRPr="0035095E">
        <w:rPr>
          <w:rFonts w:ascii="Times New Roman" w:hAnsi="Times New Roman" w:cs="Times New Roman"/>
          <w:sz w:val="20"/>
          <w:szCs w:val="20"/>
          <w:lang w:val="en-US"/>
        </w:rPr>
        <w:t xml:space="preserve">, suggesting that financial knowledge and tax knowledge </w:t>
      </w:r>
      <w:r w:rsidR="00A4603F" w:rsidRPr="0035095E">
        <w:rPr>
          <w:rFonts w:ascii="Times New Roman" w:hAnsi="Times New Roman" w:cs="Times New Roman"/>
          <w:sz w:val="20"/>
          <w:szCs w:val="20"/>
          <w:lang w:val="en-US"/>
        </w:rPr>
        <w:t>share some common aspects</w:t>
      </w:r>
      <w:r w:rsidR="009A1472" w:rsidRPr="0035095E">
        <w:rPr>
          <w:rFonts w:ascii="Times New Roman" w:hAnsi="Times New Roman" w:cs="Times New Roman"/>
          <w:sz w:val="20"/>
          <w:szCs w:val="20"/>
          <w:lang w:val="en-US"/>
        </w:rPr>
        <w:t xml:space="preserve">. In addition, financial experience </w:t>
      </w:r>
      <w:r w:rsidR="00EE5347" w:rsidRPr="0035095E">
        <w:rPr>
          <w:rFonts w:ascii="Times New Roman" w:hAnsi="Times New Roman" w:cs="Times New Roman"/>
          <w:sz w:val="20"/>
          <w:szCs w:val="20"/>
          <w:lang w:val="en-US"/>
        </w:rPr>
        <w:t xml:space="preserve">(e.g., </w:t>
      </w:r>
      <w:r w:rsidR="0033272A" w:rsidRPr="0035095E">
        <w:rPr>
          <w:rFonts w:ascii="Times New Roman" w:hAnsi="Times New Roman" w:cs="Times New Roman"/>
          <w:sz w:val="20"/>
          <w:szCs w:val="20"/>
          <w:lang w:val="en-US"/>
        </w:rPr>
        <w:t xml:space="preserve">using </w:t>
      </w:r>
      <w:r w:rsidR="00285731" w:rsidRPr="0035095E">
        <w:rPr>
          <w:rFonts w:ascii="Times New Roman" w:hAnsi="Times New Roman" w:cs="Times New Roman"/>
          <w:sz w:val="20"/>
          <w:szCs w:val="20"/>
          <w:lang w:val="en-US"/>
        </w:rPr>
        <w:t xml:space="preserve">a </w:t>
      </w:r>
      <w:r w:rsidR="003575B5" w:rsidRPr="0035095E">
        <w:rPr>
          <w:rFonts w:ascii="Times New Roman" w:hAnsi="Times New Roman" w:cs="Times New Roman"/>
          <w:sz w:val="20"/>
          <w:szCs w:val="20"/>
          <w:lang w:val="en-US"/>
        </w:rPr>
        <w:lastRenderedPageBreak/>
        <w:t>credit card</w:t>
      </w:r>
      <w:r w:rsidR="006B24B8" w:rsidRPr="0035095E">
        <w:rPr>
          <w:rFonts w:ascii="Times New Roman" w:hAnsi="Times New Roman" w:cs="Times New Roman"/>
          <w:sz w:val="20"/>
          <w:szCs w:val="20"/>
          <w:lang w:val="en-US"/>
        </w:rPr>
        <w:t xml:space="preserve"> </w:t>
      </w:r>
      <w:r w:rsidR="00A4603F" w:rsidRPr="0035095E">
        <w:rPr>
          <w:rFonts w:ascii="Times New Roman" w:hAnsi="Times New Roman" w:cs="Times New Roman"/>
          <w:sz w:val="20"/>
          <w:szCs w:val="20"/>
          <w:lang w:val="en-US" w:eastAsia="zh-CN"/>
        </w:rPr>
        <w:t>and</w:t>
      </w:r>
      <w:r w:rsidR="003575B5" w:rsidRPr="0035095E">
        <w:rPr>
          <w:rFonts w:ascii="Times New Roman" w:hAnsi="Times New Roman" w:cs="Times New Roman"/>
          <w:sz w:val="20"/>
          <w:szCs w:val="20"/>
          <w:lang w:val="en-US"/>
        </w:rPr>
        <w:t xml:space="preserve"> </w:t>
      </w:r>
      <w:r w:rsidR="00EF3283" w:rsidRPr="0035095E">
        <w:rPr>
          <w:rFonts w:ascii="Times New Roman" w:hAnsi="Times New Roman" w:cs="Times New Roman"/>
          <w:sz w:val="20"/>
          <w:szCs w:val="20"/>
          <w:lang w:val="en-US"/>
        </w:rPr>
        <w:t>havi</w:t>
      </w:r>
      <w:r w:rsidR="003575B5" w:rsidRPr="0035095E">
        <w:rPr>
          <w:rFonts w:ascii="Times New Roman" w:hAnsi="Times New Roman" w:cs="Times New Roman"/>
          <w:sz w:val="20"/>
          <w:szCs w:val="20"/>
          <w:lang w:val="en-US"/>
        </w:rPr>
        <w:t>ng a savings</w:t>
      </w:r>
      <w:r w:rsidR="002F31E3" w:rsidRPr="0035095E">
        <w:rPr>
          <w:rFonts w:ascii="Times New Roman" w:hAnsi="Times New Roman" w:cs="Times New Roman"/>
          <w:sz w:val="20"/>
          <w:szCs w:val="20"/>
          <w:lang w:val="en-US"/>
        </w:rPr>
        <w:t xml:space="preserve"> or </w:t>
      </w:r>
      <w:r w:rsidR="008B7937" w:rsidRPr="0035095E">
        <w:rPr>
          <w:rFonts w:ascii="Times New Roman" w:hAnsi="Times New Roman" w:cs="Times New Roman"/>
          <w:sz w:val="20"/>
          <w:szCs w:val="20"/>
          <w:lang w:val="en-US"/>
        </w:rPr>
        <w:t>checking</w:t>
      </w:r>
      <w:r w:rsidR="003575B5" w:rsidRPr="0035095E">
        <w:rPr>
          <w:rFonts w:ascii="Times New Roman" w:hAnsi="Times New Roman" w:cs="Times New Roman"/>
          <w:sz w:val="20"/>
          <w:szCs w:val="20"/>
          <w:lang w:val="en-US"/>
        </w:rPr>
        <w:t xml:space="preserve"> account</w:t>
      </w:r>
      <w:r w:rsidR="00EE5347" w:rsidRPr="0035095E">
        <w:rPr>
          <w:rFonts w:ascii="Times New Roman" w:hAnsi="Times New Roman" w:cs="Times New Roman"/>
          <w:sz w:val="20"/>
          <w:szCs w:val="20"/>
          <w:lang w:val="en-US"/>
        </w:rPr>
        <w:t>)</w:t>
      </w:r>
      <w:r w:rsidR="009A1472" w:rsidRPr="0035095E">
        <w:rPr>
          <w:rFonts w:ascii="Times New Roman" w:hAnsi="Times New Roman" w:cs="Times New Roman"/>
          <w:sz w:val="20"/>
          <w:szCs w:val="20"/>
          <w:lang w:val="en-US"/>
        </w:rPr>
        <w:t xml:space="preserve"> </w:t>
      </w:r>
      <w:r w:rsidR="00EE5347" w:rsidRPr="0035095E">
        <w:rPr>
          <w:rFonts w:ascii="Times New Roman" w:hAnsi="Times New Roman" w:cs="Times New Roman"/>
          <w:sz w:val="20"/>
          <w:szCs w:val="20"/>
          <w:lang w:val="en-US"/>
        </w:rPr>
        <w:t xml:space="preserve">is </w:t>
      </w:r>
      <w:r w:rsidR="009A1472" w:rsidRPr="0035095E">
        <w:rPr>
          <w:rFonts w:ascii="Times New Roman" w:hAnsi="Times New Roman" w:cs="Times New Roman"/>
          <w:sz w:val="20"/>
          <w:szCs w:val="20"/>
          <w:lang w:val="en-US"/>
        </w:rPr>
        <w:t>also associated with students’ tax literacy</w:t>
      </w:r>
      <w:r w:rsidR="003575B5" w:rsidRPr="0035095E">
        <w:rPr>
          <w:rFonts w:ascii="Times New Roman" w:hAnsi="Times New Roman" w:cs="Times New Roman"/>
          <w:sz w:val="20"/>
          <w:szCs w:val="20"/>
          <w:lang w:val="en-US"/>
        </w:rPr>
        <w:t xml:space="preserve">. </w:t>
      </w:r>
      <w:r w:rsidR="00B329C3" w:rsidRPr="0035095E">
        <w:rPr>
          <w:rFonts w:ascii="Times New Roman" w:hAnsi="Times New Roman" w:cs="Times New Roman"/>
          <w:sz w:val="20"/>
          <w:szCs w:val="20"/>
          <w:lang w:val="en-US"/>
        </w:rPr>
        <w:t>Regarding</w:t>
      </w:r>
      <w:r w:rsidR="004A2B6C" w:rsidRPr="0035095E">
        <w:rPr>
          <w:rFonts w:ascii="Times New Roman" w:hAnsi="Times New Roman" w:cs="Times New Roman"/>
          <w:sz w:val="20"/>
          <w:szCs w:val="20"/>
          <w:lang w:val="en-US"/>
        </w:rPr>
        <w:t xml:space="preserve"> the impact of education</w:t>
      </w:r>
      <w:r w:rsidR="00CF26BD" w:rsidRPr="0035095E">
        <w:rPr>
          <w:rFonts w:ascii="Times New Roman" w:hAnsi="Times New Roman" w:cs="Times New Roman"/>
          <w:sz w:val="20"/>
          <w:szCs w:val="20"/>
          <w:lang w:val="en-US"/>
        </w:rPr>
        <w:t xml:space="preserve">, </w:t>
      </w:r>
      <w:r w:rsidR="004A2B6C" w:rsidRPr="0035095E">
        <w:rPr>
          <w:rFonts w:ascii="Times New Roman" w:hAnsi="Times New Roman" w:cs="Times New Roman"/>
          <w:sz w:val="20"/>
          <w:szCs w:val="20"/>
          <w:lang w:val="en-US"/>
        </w:rPr>
        <w:t xml:space="preserve">we find that </w:t>
      </w:r>
      <w:r w:rsidR="00CF26BD" w:rsidRPr="0035095E">
        <w:rPr>
          <w:rFonts w:ascii="Times New Roman" w:hAnsi="Times New Roman" w:cs="Times New Roman"/>
          <w:sz w:val="20"/>
          <w:szCs w:val="20"/>
          <w:lang w:val="en-US"/>
        </w:rPr>
        <w:t>t</w:t>
      </w:r>
      <w:r w:rsidR="00347A38" w:rsidRPr="0035095E">
        <w:rPr>
          <w:rFonts w:ascii="Times New Roman" w:hAnsi="Times New Roman" w:cs="Times New Roman"/>
          <w:sz w:val="20"/>
          <w:szCs w:val="20"/>
          <w:lang w:val="en-US"/>
        </w:rPr>
        <w:t>aking</w:t>
      </w:r>
      <w:r w:rsidR="003575B5" w:rsidRPr="0035095E">
        <w:rPr>
          <w:rFonts w:ascii="Times New Roman" w:hAnsi="Times New Roman" w:cs="Times New Roman"/>
          <w:sz w:val="20"/>
          <w:szCs w:val="20"/>
          <w:lang w:val="en-US"/>
        </w:rPr>
        <w:t xml:space="preserve"> a tax </w:t>
      </w:r>
      <w:r w:rsidR="006107E8" w:rsidRPr="0035095E">
        <w:rPr>
          <w:rFonts w:ascii="Times New Roman" w:hAnsi="Times New Roman" w:cs="Times New Roman"/>
          <w:sz w:val="20"/>
          <w:szCs w:val="20"/>
          <w:lang w:val="en-US"/>
        </w:rPr>
        <w:t>course</w:t>
      </w:r>
      <w:r w:rsidR="003575B5" w:rsidRPr="0035095E">
        <w:rPr>
          <w:rFonts w:ascii="Times New Roman" w:hAnsi="Times New Roman" w:cs="Times New Roman"/>
          <w:sz w:val="20"/>
          <w:szCs w:val="20"/>
          <w:lang w:val="en-US"/>
        </w:rPr>
        <w:t xml:space="preserve"> is positively correlated with tax literacy, while taking a </w:t>
      </w:r>
      <w:r w:rsidR="00F37215" w:rsidRPr="0035095E">
        <w:rPr>
          <w:rFonts w:ascii="Times New Roman" w:hAnsi="Times New Roman" w:cs="Times New Roman"/>
          <w:sz w:val="20"/>
          <w:szCs w:val="20"/>
          <w:lang w:val="en-US"/>
        </w:rPr>
        <w:t xml:space="preserve">non-tax </w:t>
      </w:r>
      <w:r w:rsidR="003575B5" w:rsidRPr="0035095E">
        <w:rPr>
          <w:rFonts w:ascii="Times New Roman" w:hAnsi="Times New Roman" w:cs="Times New Roman"/>
          <w:sz w:val="20"/>
          <w:szCs w:val="20"/>
          <w:lang w:val="en-US"/>
        </w:rPr>
        <w:t xml:space="preserve">accounting class does not seem to </w:t>
      </w:r>
      <w:r w:rsidR="00A41BF7" w:rsidRPr="0035095E">
        <w:rPr>
          <w:rFonts w:ascii="Times New Roman" w:hAnsi="Times New Roman" w:cs="Times New Roman"/>
          <w:sz w:val="20"/>
          <w:szCs w:val="20"/>
          <w:lang w:val="en-US"/>
        </w:rPr>
        <w:t xml:space="preserve">be correlated </w:t>
      </w:r>
      <w:r w:rsidR="003575B5" w:rsidRPr="0035095E">
        <w:rPr>
          <w:rFonts w:ascii="Times New Roman" w:hAnsi="Times New Roman" w:cs="Times New Roman"/>
          <w:sz w:val="20"/>
          <w:szCs w:val="20"/>
          <w:lang w:val="en-US"/>
        </w:rPr>
        <w:t>with tax literacy.</w:t>
      </w:r>
      <w:r w:rsidR="00410FE5" w:rsidRPr="0035095E">
        <w:rPr>
          <w:rFonts w:ascii="Times New Roman" w:hAnsi="Times New Roman" w:cs="Times New Roman"/>
          <w:sz w:val="20"/>
          <w:szCs w:val="20"/>
          <w:lang w:val="en-US"/>
        </w:rPr>
        <w:t xml:space="preserve"> </w:t>
      </w:r>
      <w:r w:rsidR="00B329C3" w:rsidRPr="0035095E">
        <w:rPr>
          <w:rFonts w:ascii="Times New Roman" w:hAnsi="Times New Roman" w:cs="Times New Roman"/>
          <w:sz w:val="20"/>
          <w:szCs w:val="20"/>
          <w:lang w:val="en-US"/>
        </w:rPr>
        <w:t>In addition, t</w:t>
      </w:r>
      <w:r w:rsidR="00F37215" w:rsidRPr="0035095E">
        <w:rPr>
          <w:rFonts w:ascii="Times New Roman" w:hAnsi="Times New Roman" w:cs="Times New Roman"/>
          <w:sz w:val="20"/>
          <w:szCs w:val="20"/>
          <w:lang w:val="en-US"/>
        </w:rPr>
        <w:t>he perceived tax confidence</w:t>
      </w:r>
      <w:r w:rsidR="00B329C3" w:rsidRPr="0035095E">
        <w:rPr>
          <w:rFonts w:ascii="Times New Roman" w:hAnsi="Times New Roman" w:cs="Times New Roman"/>
          <w:sz w:val="20"/>
          <w:szCs w:val="20"/>
          <w:lang w:val="en-US"/>
        </w:rPr>
        <w:t xml:space="preserve"> </w:t>
      </w:r>
      <w:r w:rsidR="00F37215" w:rsidRPr="0035095E">
        <w:rPr>
          <w:rFonts w:ascii="Times New Roman" w:hAnsi="Times New Roman" w:cs="Times New Roman"/>
          <w:sz w:val="20"/>
          <w:szCs w:val="20"/>
          <w:lang w:val="en-US"/>
        </w:rPr>
        <w:t>is positively associated with t</w:t>
      </w:r>
      <w:r w:rsidR="00410FE5" w:rsidRPr="0035095E">
        <w:rPr>
          <w:rFonts w:ascii="Times New Roman" w:hAnsi="Times New Roman" w:cs="Times New Roman"/>
          <w:sz w:val="20"/>
          <w:szCs w:val="20"/>
          <w:lang w:val="en-US"/>
        </w:rPr>
        <w:t>aking a tax course, along with better t</w:t>
      </w:r>
      <w:r w:rsidR="009A1472" w:rsidRPr="0035095E">
        <w:rPr>
          <w:rFonts w:ascii="Times New Roman" w:hAnsi="Times New Roman" w:cs="Times New Roman"/>
          <w:sz w:val="20"/>
          <w:szCs w:val="20"/>
          <w:lang w:val="en-US"/>
        </w:rPr>
        <w:t xml:space="preserve">ax literacy, </w:t>
      </w:r>
      <w:r w:rsidR="00FB3D6C" w:rsidRPr="0035095E">
        <w:rPr>
          <w:rFonts w:ascii="Times New Roman" w:hAnsi="Times New Roman" w:cs="Times New Roman"/>
          <w:sz w:val="20"/>
          <w:szCs w:val="20"/>
          <w:lang w:val="en-US"/>
        </w:rPr>
        <w:t>financial experiences</w:t>
      </w:r>
      <w:r w:rsidR="009A1472" w:rsidRPr="0035095E">
        <w:rPr>
          <w:rFonts w:ascii="Times New Roman" w:hAnsi="Times New Roman" w:cs="Times New Roman"/>
          <w:sz w:val="20"/>
          <w:szCs w:val="20"/>
          <w:lang w:val="en-US"/>
        </w:rPr>
        <w:t xml:space="preserve">, </w:t>
      </w:r>
      <w:r w:rsidR="00FB4425" w:rsidRPr="0035095E">
        <w:rPr>
          <w:rFonts w:ascii="Times New Roman" w:hAnsi="Times New Roman" w:cs="Times New Roman"/>
          <w:sz w:val="20"/>
          <w:szCs w:val="20"/>
          <w:lang w:val="en-US"/>
        </w:rPr>
        <w:t xml:space="preserve">and </w:t>
      </w:r>
      <w:r w:rsidR="00F37215" w:rsidRPr="0035095E">
        <w:rPr>
          <w:rFonts w:ascii="Times New Roman" w:hAnsi="Times New Roman" w:cs="Times New Roman"/>
          <w:sz w:val="20"/>
          <w:szCs w:val="20"/>
          <w:lang w:val="en-US"/>
        </w:rPr>
        <w:t>tax return-filing experiences</w:t>
      </w:r>
      <w:r w:rsidR="0012062A" w:rsidRPr="0035095E">
        <w:rPr>
          <w:rFonts w:ascii="Times New Roman" w:hAnsi="Times New Roman" w:cs="Times New Roman"/>
          <w:sz w:val="20"/>
          <w:szCs w:val="20"/>
          <w:lang w:val="en-US"/>
        </w:rPr>
        <w:t xml:space="preserve">. </w:t>
      </w:r>
      <w:r w:rsidR="004D798C" w:rsidRPr="0035095E">
        <w:rPr>
          <w:rFonts w:ascii="Times New Roman" w:hAnsi="Times New Roman" w:cs="Times New Roman"/>
          <w:sz w:val="20"/>
          <w:szCs w:val="20"/>
          <w:lang w:val="en-US"/>
        </w:rPr>
        <w:t xml:space="preserve">These findings </w:t>
      </w:r>
      <w:r w:rsidR="0033272A" w:rsidRPr="0035095E">
        <w:rPr>
          <w:rFonts w:ascii="Times New Roman" w:hAnsi="Times New Roman" w:cs="Times New Roman"/>
          <w:sz w:val="20"/>
          <w:szCs w:val="20"/>
          <w:lang w:val="en-US"/>
        </w:rPr>
        <w:t xml:space="preserve">indicate </w:t>
      </w:r>
      <w:r w:rsidR="004D798C" w:rsidRPr="0035095E">
        <w:rPr>
          <w:rFonts w:ascii="Times New Roman" w:hAnsi="Times New Roman" w:cs="Times New Roman"/>
          <w:sz w:val="20"/>
          <w:szCs w:val="20"/>
          <w:lang w:val="en-US"/>
        </w:rPr>
        <w:t xml:space="preserve">that </w:t>
      </w:r>
      <w:r w:rsidR="004A2B6C" w:rsidRPr="0035095E">
        <w:rPr>
          <w:rFonts w:ascii="Times New Roman" w:hAnsi="Times New Roman" w:cs="Times New Roman"/>
          <w:sz w:val="20"/>
          <w:szCs w:val="20"/>
          <w:lang w:val="en-US"/>
        </w:rPr>
        <w:t>both tax education and real-life experience</w:t>
      </w:r>
      <w:r w:rsidR="00B329C3" w:rsidRPr="0035095E">
        <w:rPr>
          <w:rFonts w:ascii="Times New Roman" w:hAnsi="Times New Roman" w:cs="Times New Roman"/>
          <w:sz w:val="20"/>
          <w:szCs w:val="20"/>
          <w:lang w:val="en-US"/>
        </w:rPr>
        <w:t>s</w:t>
      </w:r>
      <w:r w:rsidR="004A2B6C" w:rsidRPr="0035095E">
        <w:rPr>
          <w:rFonts w:ascii="Times New Roman" w:hAnsi="Times New Roman" w:cs="Times New Roman"/>
          <w:sz w:val="20"/>
          <w:szCs w:val="20"/>
          <w:lang w:val="en-US"/>
        </w:rPr>
        <w:t xml:space="preserve"> in finance and tax</w:t>
      </w:r>
      <w:r w:rsidR="00803C94" w:rsidRPr="0035095E">
        <w:rPr>
          <w:rFonts w:ascii="Times New Roman" w:hAnsi="Times New Roman" w:cs="Times New Roman"/>
          <w:sz w:val="20"/>
          <w:szCs w:val="20"/>
          <w:lang w:val="en-US"/>
        </w:rPr>
        <w:t>ation</w:t>
      </w:r>
      <w:r w:rsidR="004A2B6C" w:rsidRPr="0035095E">
        <w:rPr>
          <w:rFonts w:ascii="Times New Roman" w:hAnsi="Times New Roman" w:cs="Times New Roman"/>
          <w:sz w:val="20"/>
          <w:szCs w:val="20"/>
          <w:lang w:val="en-US"/>
        </w:rPr>
        <w:t xml:space="preserve"> help build students’ tax confidence</w:t>
      </w:r>
      <w:r w:rsidR="004D798C" w:rsidRPr="0035095E">
        <w:rPr>
          <w:rFonts w:ascii="Times New Roman" w:hAnsi="Times New Roman" w:cs="Times New Roman"/>
          <w:sz w:val="20"/>
          <w:szCs w:val="20"/>
          <w:lang w:val="en-US"/>
        </w:rPr>
        <w:t>. Lastly,</w:t>
      </w:r>
      <w:r w:rsidR="004A2B6C" w:rsidRPr="0035095E">
        <w:rPr>
          <w:rFonts w:ascii="Times New Roman" w:hAnsi="Times New Roman" w:cs="Times New Roman"/>
          <w:sz w:val="20"/>
          <w:szCs w:val="20"/>
          <w:lang w:val="en-US"/>
        </w:rPr>
        <w:t xml:space="preserve"> we find that</w:t>
      </w:r>
      <w:r w:rsidR="004D798C" w:rsidRPr="0035095E">
        <w:rPr>
          <w:rFonts w:ascii="Times New Roman" w:hAnsi="Times New Roman" w:cs="Times New Roman"/>
          <w:sz w:val="20"/>
          <w:szCs w:val="20"/>
          <w:lang w:val="en-US"/>
        </w:rPr>
        <w:t xml:space="preserve"> </w:t>
      </w:r>
      <w:r w:rsidR="00BA3C61" w:rsidRPr="0035095E">
        <w:rPr>
          <w:rFonts w:ascii="Times New Roman" w:hAnsi="Times New Roman" w:cs="Times New Roman"/>
          <w:sz w:val="20"/>
          <w:szCs w:val="20"/>
          <w:lang w:val="en-US"/>
        </w:rPr>
        <w:t>tax confidence is positively</w:t>
      </w:r>
      <w:r w:rsidR="002566C8" w:rsidRPr="0035095E">
        <w:rPr>
          <w:rFonts w:ascii="Times New Roman" w:hAnsi="Times New Roman" w:cs="Times New Roman"/>
          <w:sz w:val="20"/>
          <w:szCs w:val="20"/>
          <w:lang w:val="en-US"/>
        </w:rPr>
        <w:t xml:space="preserve"> associated with </w:t>
      </w:r>
      <w:r w:rsidR="00BA3C61" w:rsidRPr="0035095E">
        <w:rPr>
          <w:rFonts w:ascii="Times New Roman" w:hAnsi="Times New Roman" w:cs="Times New Roman"/>
          <w:sz w:val="20"/>
          <w:szCs w:val="20"/>
          <w:lang w:val="en-US"/>
        </w:rPr>
        <w:t>tax education when controlling for financial confidence</w:t>
      </w:r>
      <w:r w:rsidR="004A2B6C" w:rsidRPr="0035095E">
        <w:rPr>
          <w:rFonts w:ascii="Times New Roman" w:hAnsi="Times New Roman" w:cs="Times New Roman"/>
          <w:sz w:val="20"/>
          <w:szCs w:val="20"/>
          <w:lang w:val="en-US"/>
        </w:rPr>
        <w:t>,</w:t>
      </w:r>
      <w:r w:rsidR="004D798C" w:rsidRPr="0035095E">
        <w:rPr>
          <w:rFonts w:ascii="Times New Roman" w:hAnsi="Times New Roman" w:cs="Times New Roman"/>
          <w:sz w:val="20"/>
          <w:szCs w:val="20"/>
          <w:lang w:val="en-US"/>
        </w:rPr>
        <w:t xml:space="preserve"> </w:t>
      </w:r>
      <w:r w:rsidR="0033272A" w:rsidRPr="0035095E">
        <w:rPr>
          <w:rFonts w:ascii="Times New Roman" w:hAnsi="Times New Roman" w:cs="Times New Roman"/>
          <w:sz w:val="20"/>
          <w:szCs w:val="20"/>
          <w:lang w:val="en-US"/>
        </w:rPr>
        <w:t xml:space="preserve">indicating </w:t>
      </w:r>
      <w:r w:rsidR="002566C8" w:rsidRPr="0035095E">
        <w:rPr>
          <w:rFonts w:ascii="Times New Roman" w:hAnsi="Times New Roman" w:cs="Times New Roman"/>
          <w:sz w:val="20"/>
          <w:szCs w:val="20"/>
          <w:lang w:val="en-US"/>
        </w:rPr>
        <w:t xml:space="preserve">that </w:t>
      </w:r>
      <w:r w:rsidR="0009301B" w:rsidRPr="0035095E">
        <w:rPr>
          <w:rFonts w:ascii="Times New Roman" w:hAnsi="Times New Roman" w:cs="Times New Roman"/>
          <w:sz w:val="20"/>
          <w:szCs w:val="20"/>
          <w:lang w:val="en-US"/>
        </w:rPr>
        <w:t>tax</w:t>
      </w:r>
      <w:r w:rsidR="004A2B6C" w:rsidRPr="0035095E">
        <w:rPr>
          <w:rFonts w:ascii="Times New Roman" w:hAnsi="Times New Roman" w:cs="Times New Roman"/>
          <w:sz w:val="20"/>
          <w:szCs w:val="20"/>
          <w:lang w:val="en-US"/>
        </w:rPr>
        <w:t>-specific</w:t>
      </w:r>
      <w:r w:rsidR="0009301B" w:rsidRPr="0035095E">
        <w:rPr>
          <w:rFonts w:ascii="Times New Roman" w:hAnsi="Times New Roman" w:cs="Times New Roman"/>
          <w:sz w:val="20"/>
          <w:szCs w:val="20"/>
          <w:lang w:val="en-US"/>
        </w:rPr>
        <w:t xml:space="preserve"> education is </w:t>
      </w:r>
      <w:r w:rsidR="00BA3C61" w:rsidRPr="0035095E">
        <w:rPr>
          <w:rFonts w:ascii="Times New Roman" w:hAnsi="Times New Roman" w:cs="Times New Roman"/>
          <w:sz w:val="20"/>
          <w:szCs w:val="20"/>
          <w:lang w:val="en-US"/>
        </w:rPr>
        <w:t>important</w:t>
      </w:r>
      <w:r w:rsidR="0009301B" w:rsidRPr="0035095E">
        <w:rPr>
          <w:rFonts w:ascii="Times New Roman" w:hAnsi="Times New Roman" w:cs="Times New Roman"/>
          <w:sz w:val="20"/>
          <w:szCs w:val="20"/>
          <w:lang w:val="en-US"/>
        </w:rPr>
        <w:t xml:space="preserve"> in </w:t>
      </w:r>
      <w:r w:rsidR="00825ED8" w:rsidRPr="0035095E">
        <w:rPr>
          <w:rFonts w:ascii="Times New Roman" w:hAnsi="Times New Roman" w:cs="Times New Roman"/>
          <w:sz w:val="20"/>
          <w:szCs w:val="20"/>
          <w:lang w:val="en-US"/>
        </w:rPr>
        <w:t>boosting</w:t>
      </w:r>
      <w:r w:rsidR="0033272A" w:rsidRPr="0035095E">
        <w:rPr>
          <w:rFonts w:ascii="Times New Roman" w:hAnsi="Times New Roman" w:cs="Times New Roman"/>
          <w:sz w:val="20"/>
          <w:szCs w:val="20"/>
          <w:lang w:val="en-US"/>
        </w:rPr>
        <w:t xml:space="preserve"> students’</w:t>
      </w:r>
      <w:r w:rsidR="004A2B6C" w:rsidRPr="0035095E">
        <w:rPr>
          <w:rFonts w:ascii="Times New Roman" w:hAnsi="Times New Roman" w:cs="Times New Roman"/>
          <w:sz w:val="20"/>
          <w:szCs w:val="20"/>
          <w:lang w:val="en-US"/>
        </w:rPr>
        <w:t xml:space="preserve"> tax</w:t>
      </w:r>
      <w:r w:rsidR="0009301B" w:rsidRPr="0035095E">
        <w:rPr>
          <w:rFonts w:ascii="Times New Roman" w:hAnsi="Times New Roman" w:cs="Times New Roman"/>
          <w:sz w:val="20"/>
          <w:szCs w:val="20"/>
          <w:lang w:val="en-US"/>
        </w:rPr>
        <w:t xml:space="preserve"> </w:t>
      </w:r>
      <w:r w:rsidR="00FB3D6C" w:rsidRPr="0035095E">
        <w:rPr>
          <w:rFonts w:ascii="Times New Roman" w:hAnsi="Times New Roman" w:cs="Times New Roman"/>
          <w:sz w:val="20"/>
          <w:szCs w:val="20"/>
          <w:lang w:val="en-US"/>
        </w:rPr>
        <w:t>confidence</w:t>
      </w:r>
      <w:r w:rsidR="00BA3C61" w:rsidRPr="0035095E">
        <w:rPr>
          <w:rFonts w:ascii="Times New Roman" w:hAnsi="Times New Roman" w:cs="Times New Roman"/>
          <w:sz w:val="20"/>
          <w:szCs w:val="20"/>
          <w:lang w:val="en-US"/>
        </w:rPr>
        <w:t xml:space="preserve"> </w:t>
      </w:r>
      <w:r w:rsidR="00B329C3" w:rsidRPr="0035095E">
        <w:rPr>
          <w:rFonts w:ascii="Times New Roman" w:hAnsi="Times New Roman" w:cs="Times New Roman"/>
          <w:sz w:val="20"/>
          <w:szCs w:val="20"/>
          <w:lang w:val="en-US"/>
        </w:rPr>
        <w:t>in addition to their</w:t>
      </w:r>
      <w:r w:rsidR="004C740E" w:rsidRPr="0035095E">
        <w:rPr>
          <w:rFonts w:ascii="Times New Roman" w:hAnsi="Times New Roman" w:cs="Times New Roman"/>
          <w:sz w:val="20"/>
          <w:szCs w:val="20"/>
          <w:lang w:val="en-US"/>
        </w:rPr>
        <w:t xml:space="preserve"> confiden</w:t>
      </w:r>
      <w:r w:rsidR="00B329C3" w:rsidRPr="0035095E">
        <w:rPr>
          <w:rFonts w:ascii="Times New Roman" w:hAnsi="Times New Roman" w:cs="Times New Roman"/>
          <w:sz w:val="20"/>
          <w:szCs w:val="20"/>
          <w:lang w:val="en-US"/>
        </w:rPr>
        <w:t xml:space="preserve">ce </w:t>
      </w:r>
      <w:r w:rsidR="004C740E" w:rsidRPr="0035095E">
        <w:rPr>
          <w:rFonts w:ascii="Times New Roman" w:hAnsi="Times New Roman" w:cs="Times New Roman"/>
          <w:sz w:val="20"/>
          <w:szCs w:val="20"/>
          <w:lang w:val="en-US"/>
        </w:rPr>
        <w:t>in financial knowledge</w:t>
      </w:r>
      <w:r w:rsidR="00825ED8" w:rsidRPr="0035095E">
        <w:rPr>
          <w:rFonts w:ascii="Times New Roman" w:hAnsi="Times New Roman" w:cs="Times New Roman"/>
          <w:sz w:val="20"/>
          <w:szCs w:val="20"/>
          <w:lang w:val="en-US"/>
        </w:rPr>
        <w:t xml:space="preserve">. </w:t>
      </w:r>
      <w:r w:rsidR="008D6B94" w:rsidRPr="0035095E">
        <w:rPr>
          <w:rFonts w:ascii="Times New Roman" w:hAnsi="Times New Roman" w:cs="Times New Roman"/>
          <w:sz w:val="20"/>
          <w:szCs w:val="20"/>
          <w:lang w:val="en-US"/>
        </w:rPr>
        <w:t>Based on the</w:t>
      </w:r>
      <w:r w:rsidR="004D798C" w:rsidRPr="0035095E">
        <w:rPr>
          <w:rFonts w:ascii="Times New Roman" w:hAnsi="Times New Roman" w:cs="Times New Roman"/>
          <w:sz w:val="20"/>
          <w:szCs w:val="20"/>
          <w:lang w:val="en-US"/>
        </w:rPr>
        <w:t>se</w:t>
      </w:r>
      <w:r w:rsidR="008D6B94" w:rsidRPr="0035095E">
        <w:rPr>
          <w:rFonts w:ascii="Times New Roman" w:hAnsi="Times New Roman" w:cs="Times New Roman"/>
          <w:sz w:val="20"/>
          <w:szCs w:val="20"/>
          <w:lang w:val="en-US"/>
        </w:rPr>
        <w:t xml:space="preserve"> findings,</w:t>
      </w:r>
      <w:r w:rsidR="00AF0E5A" w:rsidRPr="0035095E">
        <w:rPr>
          <w:rFonts w:ascii="Times New Roman" w:hAnsi="Times New Roman" w:cs="Times New Roman"/>
          <w:sz w:val="20"/>
          <w:szCs w:val="20"/>
          <w:lang w:val="en-US"/>
        </w:rPr>
        <w:t xml:space="preserve"> th</w:t>
      </w:r>
      <w:r w:rsidR="00414915" w:rsidRPr="0035095E">
        <w:rPr>
          <w:rFonts w:ascii="Times New Roman" w:hAnsi="Times New Roman" w:cs="Times New Roman"/>
          <w:sz w:val="20"/>
          <w:szCs w:val="20"/>
          <w:lang w:val="en-US"/>
        </w:rPr>
        <w:t>is</w:t>
      </w:r>
      <w:r w:rsidR="00AF0E5A" w:rsidRPr="0035095E">
        <w:rPr>
          <w:rFonts w:ascii="Times New Roman" w:hAnsi="Times New Roman" w:cs="Times New Roman"/>
          <w:sz w:val="20"/>
          <w:szCs w:val="20"/>
          <w:lang w:val="en-US"/>
        </w:rPr>
        <w:t xml:space="preserve"> study provides </w:t>
      </w:r>
      <w:r w:rsidR="00BE236A" w:rsidRPr="0035095E">
        <w:rPr>
          <w:rFonts w:ascii="Times New Roman" w:hAnsi="Times New Roman" w:cs="Times New Roman"/>
          <w:sz w:val="20"/>
          <w:szCs w:val="20"/>
          <w:lang w:val="en-US"/>
        </w:rPr>
        <w:t xml:space="preserve">some </w:t>
      </w:r>
      <w:r w:rsidR="008D6B94" w:rsidRPr="0035095E">
        <w:rPr>
          <w:rFonts w:ascii="Times New Roman" w:hAnsi="Times New Roman" w:cs="Times New Roman"/>
          <w:sz w:val="20"/>
          <w:szCs w:val="20"/>
          <w:lang w:val="en-US"/>
        </w:rPr>
        <w:t xml:space="preserve">recommendations </w:t>
      </w:r>
      <w:r w:rsidR="0033272A" w:rsidRPr="0035095E">
        <w:rPr>
          <w:rFonts w:ascii="Times New Roman" w:hAnsi="Times New Roman" w:cs="Times New Roman"/>
          <w:sz w:val="20"/>
          <w:szCs w:val="20"/>
          <w:lang w:val="en-US"/>
        </w:rPr>
        <w:t xml:space="preserve">for </w:t>
      </w:r>
      <w:r w:rsidR="00F91E8F" w:rsidRPr="0035095E">
        <w:rPr>
          <w:rFonts w:ascii="Times New Roman" w:hAnsi="Times New Roman" w:cs="Times New Roman"/>
          <w:sz w:val="20"/>
          <w:szCs w:val="20"/>
          <w:lang w:val="en-US"/>
        </w:rPr>
        <w:t>how</w:t>
      </w:r>
      <w:r w:rsidR="00BE236A" w:rsidRPr="0035095E">
        <w:rPr>
          <w:rFonts w:ascii="Times New Roman" w:hAnsi="Times New Roman" w:cs="Times New Roman"/>
          <w:sz w:val="20"/>
          <w:szCs w:val="20"/>
          <w:lang w:val="en-US"/>
        </w:rPr>
        <w:t xml:space="preserve"> </w:t>
      </w:r>
      <w:r w:rsidR="00AF0E5A" w:rsidRPr="0035095E">
        <w:rPr>
          <w:rFonts w:ascii="Times New Roman" w:hAnsi="Times New Roman" w:cs="Times New Roman"/>
          <w:sz w:val="20"/>
          <w:szCs w:val="20"/>
          <w:lang w:val="en-US"/>
        </w:rPr>
        <w:t>curricu</w:t>
      </w:r>
      <w:r w:rsidR="00F91E8F" w:rsidRPr="0035095E">
        <w:rPr>
          <w:rFonts w:ascii="Times New Roman" w:hAnsi="Times New Roman" w:cs="Times New Roman"/>
          <w:sz w:val="20"/>
          <w:szCs w:val="20"/>
          <w:lang w:val="en-US"/>
        </w:rPr>
        <w:t>lar</w:t>
      </w:r>
      <w:r w:rsidR="00AF0E5A" w:rsidRPr="0035095E">
        <w:rPr>
          <w:rFonts w:ascii="Times New Roman" w:hAnsi="Times New Roman" w:cs="Times New Roman"/>
          <w:sz w:val="20"/>
          <w:szCs w:val="20"/>
          <w:lang w:val="en-US"/>
        </w:rPr>
        <w:t xml:space="preserve"> </w:t>
      </w:r>
      <w:r w:rsidR="00F91E8F" w:rsidRPr="0035095E">
        <w:rPr>
          <w:rFonts w:ascii="Times New Roman" w:hAnsi="Times New Roman" w:cs="Times New Roman"/>
          <w:sz w:val="20"/>
          <w:szCs w:val="20"/>
          <w:lang w:val="en-US"/>
        </w:rPr>
        <w:t xml:space="preserve">and extracurricular </w:t>
      </w:r>
      <w:r w:rsidR="00AF0E5A" w:rsidRPr="0035095E">
        <w:rPr>
          <w:rFonts w:ascii="Times New Roman" w:hAnsi="Times New Roman" w:cs="Times New Roman"/>
          <w:sz w:val="20"/>
          <w:szCs w:val="20"/>
          <w:lang w:val="en-US"/>
        </w:rPr>
        <w:t xml:space="preserve">design </w:t>
      </w:r>
      <w:r w:rsidR="00F91E8F" w:rsidRPr="0035095E">
        <w:rPr>
          <w:rFonts w:ascii="Times New Roman" w:hAnsi="Times New Roman" w:cs="Times New Roman"/>
          <w:sz w:val="20"/>
          <w:szCs w:val="20"/>
          <w:lang w:val="en-US"/>
        </w:rPr>
        <w:t xml:space="preserve">can </w:t>
      </w:r>
      <w:r w:rsidR="00AF0E5A" w:rsidRPr="0035095E">
        <w:rPr>
          <w:rFonts w:ascii="Times New Roman" w:hAnsi="Times New Roman" w:cs="Times New Roman"/>
          <w:sz w:val="20"/>
          <w:szCs w:val="20"/>
          <w:lang w:val="en-US"/>
        </w:rPr>
        <w:t>improve tax literacy among college students.</w:t>
      </w:r>
      <w:r w:rsidR="0035095E">
        <w:rPr>
          <w:rFonts w:ascii="Times New Roman" w:hAnsi="Times New Roman" w:cs="Times New Roman"/>
          <w:sz w:val="20"/>
          <w:szCs w:val="20"/>
          <w:lang w:val="en-US"/>
        </w:rPr>
        <w:t xml:space="preserve">  </w:t>
      </w:r>
    </w:p>
    <w:p w14:paraId="6CB89C5C" w14:textId="77777777" w:rsidR="0035095E" w:rsidRPr="0035095E" w:rsidRDefault="0035095E" w:rsidP="00C45D4F">
      <w:pPr>
        <w:rPr>
          <w:rFonts w:ascii="Times New Roman" w:hAnsi="Times New Roman" w:cs="Times New Roman"/>
          <w:sz w:val="20"/>
          <w:szCs w:val="20"/>
          <w:lang w:val="en-US"/>
        </w:rPr>
      </w:pPr>
    </w:p>
    <w:p w14:paraId="5DF4BE6F" w14:textId="4B0F3B78" w:rsidR="00DF3458" w:rsidRDefault="00BE236A" w:rsidP="00C45D4F">
      <w:pPr>
        <w:rPr>
          <w:rFonts w:ascii="Times New Roman" w:hAnsi="Times New Roman" w:cs="Times New Roman"/>
          <w:sz w:val="20"/>
          <w:szCs w:val="20"/>
          <w:lang w:val="en-US"/>
        </w:rPr>
      </w:pPr>
      <w:r w:rsidRPr="0035095E">
        <w:rPr>
          <w:rFonts w:ascii="Times New Roman" w:hAnsi="Times New Roman" w:cs="Times New Roman"/>
          <w:sz w:val="20"/>
          <w:szCs w:val="20"/>
          <w:lang w:val="en-US"/>
        </w:rPr>
        <w:t xml:space="preserve">Our </w:t>
      </w:r>
      <w:r w:rsidR="006C10C7" w:rsidRPr="0035095E">
        <w:rPr>
          <w:rFonts w:ascii="Times New Roman" w:hAnsi="Times New Roman" w:cs="Times New Roman"/>
          <w:sz w:val="20"/>
          <w:szCs w:val="20"/>
          <w:lang w:val="en-US"/>
        </w:rPr>
        <w:t xml:space="preserve">study contributes to </w:t>
      </w:r>
      <w:proofErr w:type="gramStart"/>
      <w:r w:rsidR="006C10C7" w:rsidRPr="0035095E">
        <w:rPr>
          <w:rFonts w:ascii="Times New Roman" w:hAnsi="Times New Roman" w:cs="Times New Roman"/>
          <w:sz w:val="20"/>
          <w:szCs w:val="20"/>
          <w:lang w:val="en-US"/>
        </w:rPr>
        <w:t>the literature</w:t>
      </w:r>
      <w:proofErr w:type="gramEnd"/>
      <w:r w:rsidR="006C10C7" w:rsidRPr="0035095E">
        <w:rPr>
          <w:rFonts w:ascii="Times New Roman" w:hAnsi="Times New Roman" w:cs="Times New Roman"/>
          <w:sz w:val="20"/>
          <w:szCs w:val="20"/>
          <w:lang w:val="en-US"/>
        </w:rPr>
        <w:t xml:space="preserve"> </w:t>
      </w:r>
      <w:r w:rsidRPr="0035095E">
        <w:rPr>
          <w:rFonts w:ascii="Times New Roman" w:hAnsi="Times New Roman" w:cs="Times New Roman"/>
          <w:sz w:val="20"/>
          <w:szCs w:val="20"/>
          <w:lang w:val="en-US"/>
        </w:rPr>
        <w:t xml:space="preserve">along several dimensions. First, </w:t>
      </w:r>
      <w:r w:rsidR="002940A5" w:rsidRPr="0035095E">
        <w:rPr>
          <w:rFonts w:ascii="Times New Roman" w:hAnsi="Times New Roman" w:cs="Times New Roman"/>
          <w:sz w:val="20"/>
          <w:szCs w:val="20"/>
          <w:lang w:val="en-US"/>
        </w:rPr>
        <w:t xml:space="preserve">it </w:t>
      </w:r>
      <w:r w:rsidRPr="0035095E">
        <w:rPr>
          <w:rFonts w:ascii="Times New Roman" w:hAnsi="Times New Roman" w:cs="Times New Roman"/>
          <w:sz w:val="20"/>
          <w:szCs w:val="20"/>
          <w:lang w:val="en-US"/>
        </w:rPr>
        <w:t xml:space="preserve">investigates </w:t>
      </w:r>
      <w:r w:rsidR="00C2310F" w:rsidRPr="0035095E">
        <w:rPr>
          <w:rFonts w:ascii="Times New Roman" w:hAnsi="Times New Roman" w:cs="Times New Roman"/>
          <w:sz w:val="20"/>
          <w:szCs w:val="20"/>
          <w:lang w:val="en-US"/>
        </w:rPr>
        <w:t xml:space="preserve">whether </w:t>
      </w:r>
      <w:r w:rsidR="006C10C7" w:rsidRPr="0035095E">
        <w:rPr>
          <w:rFonts w:ascii="Times New Roman" w:hAnsi="Times New Roman" w:cs="Times New Roman"/>
          <w:sz w:val="20"/>
          <w:szCs w:val="20"/>
          <w:lang w:val="en-US"/>
        </w:rPr>
        <w:t xml:space="preserve">tax confidence </w:t>
      </w:r>
      <w:r w:rsidR="00295839" w:rsidRPr="0035095E">
        <w:rPr>
          <w:rFonts w:ascii="Times New Roman" w:hAnsi="Times New Roman" w:cs="Times New Roman"/>
          <w:sz w:val="20"/>
          <w:szCs w:val="20"/>
          <w:lang w:val="en-US"/>
        </w:rPr>
        <w:t>develops</w:t>
      </w:r>
      <w:r w:rsidR="006C10C7" w:rsidRPr="0035095E">
        <w:rPr>
          <w:rFonts w:ascii="Times New Roman" w:hAnsi="Times New Roman" w:cs="Times New Roman"/>
          <w:sz w:val="20"/>
          <w:szCs w:val="20"/>
          <w:lang w:val="en-US"/>
        </w:rPr>
        <w:t xml:space="preserve"> in US college students</w:t>
      </w:r>
      <w:r w:rsidR="00C2310F" w:rsidRPr="0035095E">
        <w:rPr>
          <w:rFonts w:ascii="Times New Roman" w:hAnsi="Times New Roman" w:cs="Times New Roman"/>
          <w:sz w:val="20"/>
          <w:szCs w:val="20"/>
          <w:lang w:val="en-US"/>
        </w:rPr>
        <w:t xml:space="preserve"> through accounting or tax education</w:t>
      </w:r>
      <w:r w:rsidR="006C10C7" w:rsidRPr="0035095E">
        <w:rPr>
          <w:rFonts w:ascii="Times New Roman" w:hAnsi="Times New Roman" w:cs="Times New Roman"/>
          <w:sz w:val="20"/>
          <w:szCs w:val="20"/>
          <w:lang w:val="en-US"/>
        </w:rPr>
        <w:t xml:space="preserve">. </w:t>
      </w:r>
      <w:r w:rsidRPr="0035095E">
        <w:rPr>
          <w:rFonts w:ascii="Times New Roman" w:hAnsi="Times New Roman" w:cs="Times New Roman"/>
          <w:sz w:val="20"/>
          <w:szCs w:val="20"/>
          <w:lang w:val="en-US"/>
        </w:rPr>
        <w:t xml:space="preserve">Although </w:t>
      </w:r>
      <w:r w:rsidR="002940A5" w:rsidRPr="0035095E">
        <w:rPr>
          <w:rFonts w:ascii="Times New Roman" w:hAnsi="Times New Roman" w:cs="Times New Roman"/>
          <w:sz w:val="20"/>
          <w:szCs w:val="20"/>
          <w:lang w:val="en-US"/>
        </w:rPr>
        <w:t xml:space="preserve">the </w:t>
      </w:r>
      <w:r w:rsidR="006C10C7" w:rsidRPr="0035095E">
        <w:rPr>
          <w:rFonts w:ascii="Times New Roman" w:hAnsi="Times New Roman" w:cs="Times New Roman"/>
          <w:sz w:val="20"/>
          <w:szCs w:val="20"/>
          <w:lang w:val="en-US"/>
        </w:rPr>
        <w:t>number of tax literacy studies</w:t>
      </w:r>
      <w:r w:rsidR="002940A5" w:rsidRPr="0035095E">
        <w:rPr>
          <w:rFonts w:ascii="Times New Roman" w:hAnsi="Times New Roman" w:cs="Times New Roman"/>
          <w:sz w:val="20"/>
          <w:szCs w:val="20"/>
          <w:lang w:val="en-US"/>
        </w:rPr>
        <w:t xml:space="preserve"> is growing</w:t>
      </w:r>
      <w:r w:rsidR="006C10C7" w:rsidRPr="0035095E">
        <w:rPr>
          <w:rFonts w:ascii="Times New Roman" w:hAnsi="Times New Roman" w:cs="Times New Roman"/>
          <w:sz w:val="20"/>
          <w:szCs w:val="20"/>
          <w:lang w:val="en-US"/>
        </w:rPr>
        <w:t xml:space="preserve">, </w:t>
      </w:r>
      <w:proofErr w:type="gramStart"/>
      <w:r w:rsidRPr="00263C50">
        <w:rPr>
          <w:rFonts w:ascii="Times New Roman" w:hAnsi="Times New Roman" w:cs="Times New Roman"/>
          <w:sz w:val="20"/>
          <w:szCs w:val="20"/>
          <w:lang w:val="en-US"/>
        </w:rPr>
        <w:t>with the exception of</w:t>
      </w:r>
      <w:proofErr w:type="gramEnd"/>
      <w:r w:rsidR="00772875" w:rsidRPr="00263C50">
        <w:rPr>
          <w:rFonts w:ascii="Times New Roman" w:hAnsi="Times New Roman" w:cs="Times New Roman"/>
          <w:sz w:val="20"/>
          <w:szCs w:val="20"/>
          <w:lang w:val="en-US"/>
        </w:rPr>
        <w:t xml:space="preserve"> Lyon and </w:t>
      </w:r>
      <w:r w:rsidR="00772875" w:rsidRPr="0035095E">
        <w:rPr>
          <w:rFonts w:ascii="Times New Roman" w:hAnsi="Times New Roman" w:cs="Times New Roman"/>
          <w:sz w:val="20"/>
          <w:szCs w:val="20"/>
          <w:lang w:val="en-US"/>
        </w:rPr>
        <w:t>Caitlin</w:t>
      </w:r>
      <w:r w:rsidR="002940A5" w:rsidRPr="0035095E">
        <w:rPr>
          <w:rFonts w:ascii="Times New Roman" w:hAnsi="Times New Roman" w:cs="Times New Roman"/>
          <w:sz w:val="20"/>
          <w:szCs w:val="20"/>
          <w:lang w:val="en-US"/>
        </w:rPr>
        <w:t>’s</w:t>
      </w:r>
      <w:r w:rsidR="00772875" w:rsidRPr="0035095E">
        <w:rPr>
          <w:rFonts w:ascii="Times New Roman" w:hAnsi="Times New Roman" w:cs="Times New Roman"/>
          <w:sz w:val="20"/>
          <w:szCs w:val="20"/>
          <w:lang w:val="en-US"/>
        </w:rPr>
        <w:t xml:space="preserve"> (2020)</w:t>
      </w:r>
      <w:r w:rsidR="002940A5" w:rsidRPr="0035095E">
        <w:rPr>
          <w:rFonts w:ascii="Times New Roman" w:hAnsi="Times New Roman" w:cs="Times New Roman"/>
          <w:sz w:val="20"/>
          <w:szCs w:val="20"/>
          <w:lang w:val="en-US"/>
        </w:rPr>
        <w:t xml:space="preserve"> work</w:t>
      </w:r>
      <w:r w:rsidR="00772875" w:rsidRPr="0035095E">
        <w:rPr>
          <w:rFonts w:ascii="Times New Roman" w:hAnsi="Times New Roman" w:cs="Times New Roman"/>
          <w:sz w:val="20"/>
          <w:szCs w:val="20"/>
          <w:lang w:val="en-US"/>
        </w:rPr>
        <w:t xml:space="preserve">, </w:t>
      </w:r>
      <w:r w:rsidR="006C10C7" w:rsidRPr="0035095E">
        <w:rPr>
          <w:rFonts w:ascii="Times New Roman" w:hAnsi="Times New Roman" w:cs="Times New Roman"/>
          <w:sz w:val="20"/>
          <w:szCs w:val="20"/>
          <w:lang w:val="en-US"/>
        </w:rPr>
        <w:t>most of the</w:t>
      </w:r>
      <w:r w:rsidR="001751DD" w:rsidRPr="0035095E">
        <w:rPr>
          <w:rFonts w:ascii="Times New Roman" w:hAnsi="Times New Roman" w:cs="Times New Roman"/>
          <w:sz w:val="20"/>
          <w:szCs w:val="20"/>
          <w:lang w:val="en-US"/>
        </w:rPr>
        <w:t xml:space="preserve"> </w:t>
      </w:r>
      <w:r w:rsidR="002940A5" w:rsidRPr="0035095E">
        <w:rPr>
          <w:rFonts w:ascii="Times New Roman" w:hAnsi="Times New Roman" w:cs="Times New Roman"/>
          <w:sz w:val="20"/>
          <w:szCs w:val="20"/>
          <w:lang w:val="en-US"/>
        </w:rPr>
        <w:t xml:space="preserve">research has been </w:t>
      </w:r>
      <w:r w:rsidR="001751DD" w:rsidRPr="0035095E">
        <w:rPr>
          <w:rFonts w:ascii="Times New Roman" w:hAnsi="Times New Roman" w:cs="Times New Roman"/>
          <w:sz w:val="20"/>
          <w:szCs w:val="20"/>
          <w:lang w:val="en-US"/>
        </w:rPr>
        <w:t xml:space="preserve">conducted outside of the </w:t>
      </w:r>
      <w:r w:rsidR="000768D8" w:rsidRPr="0035095E">
        <w:rPr>
          <w:rFonts w:ascii="Times New Roman" w:hAnsi="Times New Roman" w:cs="Times New Roman"/>
          <w:sz w:val="20"/>
          <w:szCs w:val="20"/>
          <w:lang w:val="en-US"/>
        </w:rPr>
        <w:t>US</w:t>
      </w:r>
      <w:r w:rsidR="002940A5" w:rsidRPr="0035095E">
        <w:rPr>
          <w:rFonts w:ascii="Times New Roman" w:hAnsi="Times New Roman" w:cs="Times New Roman"/>
          <w:sz w:val="20"/>
          <w:szCs w:val="20"/>
          <w:lang w:val="en-US"/>
        </w:rPr>
        <w:t xml:space="preserve"> </w:t>
      </w:r>
      <w:r w:rsidR="001751DD" w:rsidRPr="0035095E">
        <w:rPr>
          <w:rFonts w:ascii="Times New Roman" w:hAnsi="Times New Roman" w:cs="Times New Roman"/>
          <w:sz w:val="20"/>
          <w:szCs w:val="20"/>
          <w:lang w:val="en-US"/>
        </w:rPr>
        <w:t>(</w:t>
      </w:r>
      <w:r w:rsidR="004268CD" w:rsidRPr="0035095E">
        <w:rPr>
          <w:rStyle w:val="standard-view-style"/>
          <w:rFonts w:ascii="Times New Roman" w:hAnsi="Times New Roman" w:cs="Times New Roman"/>
          <w:sz w:val="20"/>
          <w:szCs w:val="20"/>
          <w:lang w:val="en-US"/>
        </w:rPr>
        <w:t>Chardon, Freudenberg, Brimble</w:t>
      </w:r>
      <w:r w:rsidR="001751DD" w:rsidRPr="0035095E">
        <w:rPr>
          <w:rFonts w:ascii="Times New Roman" w:hAnsi="Times New Roman" w:cs="Times New Roman"/>
          <w:sz w:val="20"/>
          <w:szCs w:val="20"/>
          <w:lang w:val="en-US"/>
        </w:rPr>
        <w:t>, 2016</w:t>
      </w:r>
      <w:r w:rsidR="00501238" w:rsidRPr="0035095E">
        <w:rPr>
          <w:rFonts w:ascii="Times New Roman" w:hAnsi="Times New Roman" w:cs="Times New Roman"/>
          <w:sz w:val="20"/>
          <w:szCs w:val="20"/>
          <w:lang w:val="en-US"/>
        </w:rPr>
        <w:t>;</w:t>
      </w:r>
      <w:r w:rsidR="001751DD" w:rsidRPr="0035095E">
        <w:rPr>
          <w:rFonts w:ascii="Times New Roman" w:hAnsi="Times New Roman" w:cs="Times New Roman"/>
          <w:sz w:val="20"/>
          <w:szCs w:val="20"/>
          <w:lang w:val="en-US"/>
        </w:rPr>
        <w:t xml:space="preserve"> </w:t>
      </w:r>
      <w:proofErr w:type="spellStart"/>
      <w:r w:rsidR="001751DD" w:rsidRPr="0035095E">
        <w:rPr>
          <w:rFonts w:ascii="Times New Roman" w:hAnsi="Times New Roman" w:cs="Times New Roman"/>
          <w:sz w:val="20"/>
          <w:szCs w:val="20"/>
          <w:lang w:val="en-US"/>
        </w:rPr>
        <w:t>Mouckova</w:t>
      </w:r>
      <w:proofErr w:type="spellEnd"/>
      <w:r w:rsidR="001751DD" w:rsidRPr="0035095E">
        <w:rPr>
          <w:rFonts w:ascii="Times New Roman" w:hAnsi="Times New Roman" w:cs="Times New Roman"/>
          <w:sz w:val="20"/>
          <w:szCs w:val="20"/>
          <w:lang w:val="en-US"/>
        </w:rPr>
        <w:t xml:space="preserve"> and </w:t>
      </w:r>
      <w:proofErr w:type="spellStart"/>
      <w:r w:rsidR="001751DD" w:rsidRPr="0035095E">
        <w:rPr>
          <w:rFonts w:ascii="Times New Roman" w:hAnsi="Times New Roman" w:cs="Times New Roman"/>
          <w:sz w:val="20"/>
          <w:szCs w:val="20"/>
          <w:lang w:val="en-US"/>
        </w:rPr>
        <w:t>Vitek</w:t>
      </w:r>
      <w:proofErr w:type="spellEnd"/>
      <w:r w:rsidR="00DE2981" w:rsidRPr="0035095E">
        <w:rPr>
          <w:rFonts w:ascii="Times New Roman" w:hAnsi="Times New Roman" w:cs="Times New Roman"/>
          <w:sz w:val="20"/>
          <w:szCs w:val="20"/>
          <w:lang w:val="en-US"/>
        </w:rPr>
        <w:t>,</w:t>
      </w:r>
      <w:r w:rsidR="001751DD" w:rsidRPr="0035095E">
        <w:rPr>
          <w:rFonts w:ascii="Times New Roman" w:hAnsi="Times New Roman" w:cs="Times New Roman"/>
          <w:sz w:val="20"/>
          <w:szCs w:val="20"/>
          <w:lang w:val="en-US"/>
        </w:rPr>
        <w:t xml:space="preserve"> 2018</w:t>
      </w:r>
      <w:r w:rsidR="00501238" w:rsidRPr="0035095E">
        <w:rPr>
          <w:rFonts w:ascii="Times New Roman" w:hAnsi="Times New Roman" w:cs="Times New Roman"/>
          <w:sz w:val="20"/>
          <w:szCs w:val="20"/>
          <w:lang w:val="en-US"/>
        </w:rPr>
        <w:t>;</w:t>
      </w:r>
      <w:r w:rsidR="001751DD" w:rsidRPr="0035095E">
        <w:rPr>
          <w:rFonts w:ascii="Times New Roman" w:hAnsi="Times New Roman" w:cs="Times New Roman"/>
          <w:sz w:val="20"/>
          <w:szCs w:val="20"/>
          <w:lang w:val="en-US"/>
        </w:rPr>
        <w:t xml:space="preserve"> </w:t>
      </w:r>
      <w:proofErr w:type="spellStart"/>
      <w:r w:rsidR="001751DD" w:rsidRPr="0035095E">
        <w:rPr>
          <w:rFonts w:ascii="Times New Roman" w:hAnsi="Times New Roman" w:cs="Times New Roman"/>
          <w:sz w:val="20"/>
          <w:szCs w:val="20"/>
          <w:lang w:val="en-US"/>
        </w:rPr>
        <w:t>Cechvosky</w:t>
      </w:r>
      <w:proofErr w:type="spellEnd"/>
      <w:r w:rsidR="00DE2981" w:rsidRPr="0035095E">
        <w:rPr>
          <w:rFonts w:ascii="Times New Roman" w:hAnsi="Times New Roman" w:cs="Times New Roman"/>
          <w:sz w:val="20"/>
          <w:szCs w:val="20"/>
          <w:lang w:val="en-US"/>
        </w:rPr>
        <w:t>,</w:t>
      </w:r>
      <w:r w:rsidR="001751DD" w:rsidRPr="0035095E">
        <w:rPr>
          <w:rFonts w:ascii="Times New Roman" w:hAnsi="Times New Roman" w:cs="Times New Roman"/>
          <w:sz w:val="20"/>
          <w:szCs w:val="20"/>
          <w:lang w:val="en-US"/>
        </w:rPr>
        <w:t xml:space="preserve"> 201</w:t>
      </w:r>
      <w:r w:rsidR="009A7BE7" w:rsidRPr="0035095E">
        <w:rPr>
          <w:rFonts w:ascii="Times New Roman" w:hAnsi="Times New Roman" w:cs="Times New Roman"/>
          <w:sz w:val="20"/>
          <w:szCs w:val="20"/>
          <w:lang w:val="en-US"/>
        </w:rPr>
        <w:t>8</w:t>
      </w:r>
      <w:r w:rsidR="00501238" w:rsidRPr="0035095E">
        <w:rPr>
          <w:rFonts w:ascii="Times New Roman" w:hAnsi="Times New Roman" w:cs="Times New Roman"/>
          <w:sz w:val="20"/>
          <w:szCs w:val="20"/>
          <w:lang w:val="en-US"/>
        </w:rPr>
        <w:t>;</w:t>
      </w:r>
      <w:r w:rsidR="001751DD" w:rsidRPr="0035095E">
        <w:rPr>
          <w:rFonts w:ascii="Times New Roman" w:hAnsi="Times New Roman" w:cs="Times New Roman"/>
          <w:sz w:val="20"/>
          <w:szCs w:val="20"/>
          <w:lang w:val="en-US"/>
        </w:rPr>
        <w:t xml:space="preserve"> </w:t>
      </w:r>
      <w:proofErr w:type="spellStart"/>
      <w:r w:rsidR="001751DD" w:rsidRPr="0035095E">
        <w:rPr>
          <w:rFonts w:ascii="Times New Roman" w:hAnsi="Times New Roman" w:cs="Times New Roman"/>
          <w:sz w:val="20"/>
          <w:szCs w:val="20"/>
          <w:lang w:val="en-US"/>
        </w:rPr>
        <w:t>Koretskava</w:t>
      </w:r>
      <w:proofErr w:type="spellEnd"/>
      <w:r w:rsidR="00DE2981" w:rsidRPr="0035095E">
        <w:rPr>
          <w:rFonts w:ascii="Times New Roman" w:hAnsi="Times New Roman" w:cs="Times New Roman"/>
          <w:sz w:val="20"/>
          <w:szCs w:val="20"/>
          <w:lang w:val="en-US"/>
        </w:rPr>
        <w:t>,</w:t>
      </w:r>
      <w:r w:rsidR="001751DD" w:rsidRPr="0035095E">
        <w:rPr>
          <w:rFonts w:ascii="Times New Roman" w:hAnsi="Times New Roman" w:cs="Times New Roman"/>
          <w:sz w:val="20"/>
          <w:szCs w:val="20"/>
          <w:lang w:val="en-US"/>
        </w:rPr>
        <w:t xml:space="preserve"> 2017</w:t>
      </w:r>
      <w:r w:rsidR="00501238" w:rsidRPr="0035095E">
        <w:rPr>
          <w:rFonts w:ascii="Times New Roman" w:hAnsi="Times New Roman" w:cs="Times New Roman"/>
          <w:sz w:val="20"/>
          <w:szCs w:val="20"/>
          <w:lang w:val="en-US"/>
        </w:rPr>
        <w:t>;</w:t>
      </w:r>
      <w:r w:rsidR="001751DD" w:rsidRPr="0035095E">
        <w:rPr>
          <w:rFonts w:ascii="Times New Roman" w:hAnsi="Times New Roman" w:cs="Times New Roman"/>
          <w:sz w:val="20"/>
          <w:szCs w:val="20"/>
          <w:lang w:val="en-US"/>
        </w:rPr>
        <w:t xml:space="preserve"> </w:t>
      </w:r>
      <w:r w:rsidR="00D35D10" w:rsidRPr="0035095E">
        <w:rPr>
          <w:rFonts w:ascii="Times New Roman" w:hAnsi="Times New Roman" w:cs="Times New Roman"/>
          <w:sz w:val="20"/>
          <w:szCs w:val="20"/>
          <w:lang w:val="en-US"/>
        </w:rPr>
        <w:t>Nichita et al.</w:t>
      </w:r>
      <w:r w:rsidR="00DE2981" w:rsidRPr="0035095E">
        <w:rPr>
          <w:rFonts w:ascii="Times New Roman" w:hAnsi="Times New Roman" w:cs="Times New Roman"/>
          <w:sz w:val="20"/>
          <w:szCs w:val="20"/>
          <w:lang w:val="en-US"/>
        </w:rPr>
        <w:t>,</w:t>
      </w:r>
      <w:r w:rsidR="00D35D10" w:rsidRPr="0035095E">
        <w:rPr>
          <w:rFonts w:ascii="Times New Roman" w:hAnsi="Times New Roman" w:cs="Times New Roman"/>
          <w:sz w:val="20"/>
          <w:szCs w:val="20"/>
          <w:lang w:val="en-US"/>
        </w:rPr>
        <w:t xml:space="preserve"> 2019</w:t>
      </w:r>
      <w:r w:rsidR="00501238" w:rsidRPr="0035095E">
        <w:rPr>
          <w:rFonts w:ascii="Times New Roman" w:hAnsi="Times New Roman" w:cs="Times New Roman"/>
          <w:sz w:val="20"/>
          <w:szCs w:val="20"/>
          <w:lang w:val="en-US"/>
        </w:rPr>
        <w:t xml:space="preserve">; Bhushan and </w:t>
      </w:r>
      <w:proofErr w:type="spellStart"/>
      <w:r w:rsidR="00501238" w:rsidRPr="0035095E">
        <w:rPr>
          <w:rFonts w:ascii="Times New Roman" w:hAnsi="Times New Roman" w:cs="Times New Roman"/>
          <w:sz w:val="20"/>
          <w:szCs w:val="20"/>
          <w:lang w:val="en-US"/>
        </w:rPr>
        <w:t>Medury</w:t>
      </w:r>
      <w:proofErr w:type="spellEnd"/>
      <w:r w:rsidR="00DE2981" w:rsidRPr="0035095E">
        <w:rPr>
          <w:rFonts w:ascii="Times New Roman" w:hAnsi="Times New Roman" w:cs="Times New Roman"/>
          <w:sz w:val="20"/>
          <w:szCs w:val="20"/>
          <w:lang w:val="en-US"/>
        </w:rPr>
        <w:t>,</w:t>
      </w:r>
      <w:r w:rsidR="00501238" w:rsidRPr="0035095E">
        <w:rPr>
          <w:rFonts w:ascii="Times New Roman" w:hAnsi="Times New Roman" w:cs="Times New Roman"/>
          <w:sz w:val="20"/>
          <w:szCs w:val="20"/>
          <w:lang w:val="en-US"/>
        </w:rPr>
        <w:t xml:space="preserve"> 2013;</w:t>
      </w:r>
      <w:r w:rsidR="00D35D10" w:rsidRPr="0035095E">
        <w:rPr>
          <w:rFonts w:ascii="Times New Roman" w:hAnsi="Times New Roman" w:cs="Times New Roman"/>
          <w:sz w:val="20"/>
          <w:szCs w:val="20"/>
          <w:lang w:val="en-US"/>
        </w:rPr>
        <w:t xml:space="preserve"> </w:t>
      </w:r>
      <w:proofErr w:type="spellStart"/>
      <w:r w:rsidR="00D35D10" w:rsidRPr="0035095E">
        <w:rPr>
          <w:rFonts w:ascii="Times New Roman" w:hAnsi="Times New Roman" w:cs="Times New Roman"/>
          <w:sz w:val="20"/>
          <w:szCs w:val="20"/>
          <w:lang w:val="en-US"/>
        </w:rPr>
        <w:t>Pasekova</w:t>
      </w:r>
      <w:proofErr w:type="spellEnd"/>
      <w:r w:rsidR="00D35D10" w:rsidRPr="0035095E">
        <w:rPr>
          <w:rFonts w:ascii="Times New Roman" w:hAnsi="Times New Roman" w:cs="Times New Roman"/>
          <w:sz w:val="20"/>
          <w:szCs w:val="20"/>
          <w:lang w:val="en-US"/>
        </w:rPr>
        <w:t xml:space="preserve"> and Kovarik</w:t>
      </w:r>
      <w:r w:rsidR="00DE2981" w:rsidRPr="0035095E">
        <w:rPr>
          <w:rFonts w:ascii="Times New Roman" w:hAnsi="Times New Roman" w:cs="Times New Roman"/>
          <w:sz w:val="20"/>
          <w:szCs w:val="20"/>
          <w:lang w:val="en-US"/>
        </w:rPr>
        <w:t>,</w:t>
      </w:r>
      <w:r w:rsidR="00D35D10" w:rsidRPr="0035095E">
        <w:rPr>
          <w:rFonts w:ascii="Times New Roman" w:hAnsi="Times New Roman" w:cs="Times New Roman"/>
          <w:sz w:val="20"/>
          <w:szCs w:val="20"/>
          <w:lang w:val="en-US"/>
        </w:rPr>
        <w:t xml:space="preserve"> 2013). </w:t>
      </w:r>
      <w:r w:rsidR="007C5656" w:rsidRPr="0035095E">
        <w:rPr>
          <w:rFonts w:ascii="Times New Roman" w:hAnsi="Times New Roman" w:cs="Times New Roman"/>
          <w:sz w:val="20"/>
          <w:szCs w:val="20"/>
          <w:lang w:val="en-US"/>
        </w:rPr>
        <w:t>Second, w</w:t>
      </w:r>
      <w:r w:rsidR="00222F7D" w:rsidRPr="0035095E">
        <w:rPr>
          <w:rFonts w:ascii="Times New Roman" w:hAnsi="Times New Roman" w:cs="Times New Roman"/>
          <w:sz w:val="20"/>
          <w:szCs w:val="20"/>
          <w:lang w:val="en-US"/>
        </w:rPr>
        <w:t xml:space="preserve">hile Lyon and Caitlin </w:t>
      </w:r>
      <w:r w:rsidR="0024682E" w:rsidRPr="0035095E">
        <w:rPr>
          <w:rFonts w:ascii="Times New Roman" w:hAnsi="Times New Roman" w:cs="Times New Roman"/>
          <w:sz w:val="20"/>
          <w:szCs w:val="20"/>
          <w:lang w:val="en-US"/>
        </w:rPr>
        <w:t>(2020) investigate</w:t>
      </w:r>
      <w:r w:rsidR="00222F7D" w:rsidRPr="0035095E">
        <w:rPr>
          <w:rFonts w:ascii="Times New Roman" w:hAnsi="Times New Roman" w:cs="Times New Roman"/>
          <w:sz w:val="20"/>
          <w:szCs w:val="20"/>
          <w:lang w:val="en-US"/>
        </w:rPr>
        <w:t xml:space="preserve"> mature adults’ misconception</w:t>
      </w:r>
      <w:r w:rsidR="00B43B73" w:rsidRPr="0035095E">
        <w:rPr>
          <w:rFonts w:ascii="Times New Roman" w:hAnsi="Times New Roman" w:cs="Times New Roman"/>
          <w:sz w:val="20"/>
          <w:szCs w:val="20"/>
          <w:lang w:val="en-US"/>
        </w:rPr>
        <w:t>s</w:t>
      </w:r>
      <w:r w:rsidR="00222F7D" w:rsidRPr="0035095E">
        <w:rPr>
          <w:rFonts w:ascii="Times New Roman" w:hAnsi="Times New Roman" w:cs="Times New Roman"/>
          <w:sz w:val="20"/>
          <w:szCs w:val="20"/>
          <w:lang w:val="en-US"/>
        </w:rPr>
        <w:t xml:space="preserve"> </w:t>
      </w:r>
      <w:r w:rsidR="00B43B73" w:rsidRPr="0035095E">
        <w:rPr>
          <w:rFonts w:ascii="Times New Roman" w:hAnsi="Times New Roman" w:cs="Times New Roman"/>
          <w:sz w:val="20"/>
          <w:szCs w:val="20"/>
          <w:lang w:val="en-US"/>
        </w:rPr>
        <w:t xml:space="preserve">regarding </w:t>
      </w:r>
      <w:r w:rsidR="0056361F" w:rsidRPr="0035095E">
        <w:rPr>
          <w:rFonts w:ascii="Times New Roman" w:hAnsi="Times New Roman" w:cs="Times New Roman"/>
          <w:sz w:val="20"/>
          <w:szCs w:val="20"/>
          <w:lang w:val="en-US"/>
        </w:rPr>
        <w:t>selected</w:t>
      </w:r>
      <w:r w:rsidR="00222F7D" w:rsidRPr="0035095E">
        <w:rPr>
          <w:rFonts w:ascii="Times New Roman" w:hAnsi="Times New Roman" w:cs="Times New Roman"/>
          <w:sz w:val="20"/>
          <w:szCs w:val="20"/>
          <w:lang w:val="en-US"/>
        </w:rPr>
        <w:t xml:space="preserve"> tax concepts</w:t>
      </w:r>
      <w:r w:rsidR="0024682E" w:rsidRPr="0035095E">
        <w:rPr>
          <w:rFonts w:ascii="Times New Roman" w:hAnsi="Times New Roman" w:cs="Times New Roman"/>
          <w:sz w:val="20"/>
          <w:szCs w:val="20"/>
          <w:lang w:val="en-US"/>
        </w:rPr>
        <w:t xml:space="preserve">, our study focuses on the impact of education </w:t>
      </w:r>
      <w:r w:rsidR="00E22A58" w:rsidRPr="0035095E">
        <w:rPr>
          <w:rFonts w:ascii="Times New Roman" w:hAnsi="Times New Roman" w:cs="Times New Roman"/>
          <w:sz w:val="20"/>
          <w:szCs w:val="20"/>
          <w:lang w:val="en-US"/>
        </w:rPr>
        <w:t xml:space="preserve">on </w:t>
      </w:r>
      <w:r w:rsidR="0024682E" w:rsidRPr="0035095E">
        <w:rPr>
          <w:rFonts w:ascii="Times New Roman" w:hAnsi="Times New Roman" w:cs="Times New Roman"/>
          <w:sz w:val="20"/>
          <w:szCs w:val="20"/>
          <w:lang w:val="en-US"/>
        </w:rPr>
        <w:t>young adults</w:t>
      </w:r>
      <w:r w:rsidR="0056361F" w:rsidRPr="0035095E">
        <w:rPr>
          <w:rFonts w:ascii="Times New Roman" w:hAnsi="Times New Roman" w:cs="Times New Roman"/>
          <w:sz w:val="20"/>
          <w:szCs w:val="20"/>
          <w:lang w:val="en-US"/>
        </w:rPr>
        <w:t>’ general tax knowledge</w:t>
      </w:r>
      <w:r w:rsidR="00222F7D" w:rsidRPr="0035095E">
        <w:rPr>
          <w:rFonts w:ascii="Times New Roman" w:hAnsi="Times New Roman" w:cs="Times New Roman"/>
          <w:sz w:val="20"/>
          <w:szCs w:val="20"/>
          <w:lang w:val="en-US"/>
        </w:rPr>
        <w:t xml:space="preserve">. </w:t>
      </w:r>
      <w:r w:rsidR="00F24A40" w:rsidRPr="0035095E">
        <w:rPr>
          <w:rFonts w:ascii="Times New Roman" w:hAnsi="Times New Roman" w:cs="Times New Roman"/>
          <w:sz w:val="20"/>
          <w:szCs w:val="20"/>
          <w:lang w:val="en-US"/>
        </w:rPr>
        <w:t xml:space="preserve">Understanding whether accounting and tax courses are effective in raising tax literacy in students is important if we aim to increase our efforts to educate the </w:t>
      </w:r>
      <w:proofErr w:type="gramStart"/>
      <w:r w:rsidR="00F24A40" w:rsidRPr="0035095E">
        <w:rPr>
          <w:rFonts w:ascii="Times New Roman" w:hAnsi="Times New Roman" w:cs="Times New Roman"/>
          <w:sz w:val="20"/>
          <w:szCs w:val="20"/>
          <w:lang w:val="en-US"/>
        </w:rPr>
        <w:t>general public</w:t>
      </w:r>
      <w:proofErr w:type="gramEnd"/>
      <w:r w:rsidR="00F24A40" w:rsidRPr="0035095E">
        <w:rPr>
          <w:rFonts w:ascii="Times New Roman" w:hAnsi="Times New Roman" w:cs="Times New Roman"/>
          <w:sz w:val="20"/>
          <w:szCs w:val="20"/>
          <w:lang w:val="en-US"/>
        </w:rPr>
        <w:t xml:space="preserve"> about tax</w:t>
      </w:r>
      <w:r w:rsidR="004E4255" w:rsidRPr="0035095E">
        <w:rPr>
          <w:rFonts w:ascii="Times New Roman" w:hAnsi="Times New Roman" w:cs="Times New Roman"/>
          <w:sz w:val="20"/>
          <w:szCs w:val="20"/>
          <w:lang w:val="en-US"/>
        </w:rPr>
        <w:t>ation</w:t>
      </w:r>
      <w:r w:rsidR="00F24A40" w:rsidRPr="0035095E">
        <w:rPr>
          <w:rFonts w:ascii="Times New Roman" w:hAnsi="Times New Roman" w:cs="Times New Roman"/>
          <w:sz w:val="20"/>
          <w:szCs w:val="20"/>
          <w:lang w:val="en-US"/>
        </w:rPr>
        <w:t xml:space="preserve"> in college years. </w:t>
      </w:r>
      <w:r w:rsidR="002566C8" w:rsidRPr="0035095E">
        <w:rPr>
          <w:rFonts w:ascii="Times New Roman" w:hAnsi="Times New Roman" w:cs="Times New Roman"/>
          <w:sz w:val="20"/>
          <w:szCs w:val="20"/>
          <w:lang w:val="en-US"/>
        </w:rPr>
        <w:t xml:space="preserve">To </w:t>
      </w:r>
      <w:r w:rsidR="0024682E" w:rsidRPr="0035095E">
        <w:rPr>
          <w:rFonts w:ascii="Times New Roman" w:hAnsi="Times New Roman" w:cs="Times New Roman"/>
          <w:sz w:val="20"/>
          <w:szCs w:val="20"/>
          <w:lang w:val="en-US"/>
        </w:rPr>
        <w:t xml:space="preserve">the best of </w:t>
      </w:r>
      <w:r w:rsidR="002566C8" w:rsidRPr="0035095E">
        <w:rPr>
          <w:rFonts w:ascii="Times New Roman" w:hAnsi="Times New Roman" w:cs="Times New Roman"/>
          <w:sz w:val="20"/>
          <w:szCs w:val="20"/>
          <w:lang w:val="en-US"/>
        </w:rPr>
        <w:t>our knowledge, this is the first study to analyze young adult</w:t>
      </w:r>
      <w:r w:rsidR="00350B0A" w:rsidRPr="0035095E">
        <w:rPr>
          <w:rFonts w:ascii="Times New Roman" w:hAnsi="Times New Roman" w:cs="Times New Roman"/>
          <w:sz w:val="20"/>
          <w:szCs w:val="20"/>
          <w:lang w:val="en-US"/>
        </w:rPr>
        <w:t>s</w:t>
      </w:r>
      <w:r w:rsidR="002566C8" w:rsidRPr="0035095E">
        <w:rPr>
          <w:rFonts w:ascii="Times New Roman" w:hAnsi="Times New Roman" w:cs="Times New Roman"/>
          <w:sz w:val="20"/>
          <w:szCs w:val="20"/>
          <w:lang w:val="en-US"/>
        </w:rPr>
        <w:t xml:space="preserve">’ tax literacy and the </w:t>
      </w:r>
      <w:r w:rsidR="00350B0A" w:rsidRPr="0035095E">
        <w:rPr>
          <w:rFonts w:ascii="Times New Roman" w:hAnsi="Times New Roman" w:cs="Times New Roman"/>
          <w:sz w:val="20"/>
          <w:szCs w:val="20"/>
          <w:lang w:val="en-US"/>
        </w:rPr>
        <w:t xml:space="preserve">impact </w:t>
      </w:r>
      <w:r w:rsidR="002566C8" w:rsidRPr="0035095E">
        <w:rPr>
          <w:rFonts w:ascii="Times New Roman" w:hAnsi="Times New Roman" w:cs="Times New Roman"/>
          <w:sz w:val="20"/>
          <w:szCs w:val="20"/>
          <w:lang w:val="en-US"/>
        </w:rPr>
        <w:t xml:space="preserve">of </w:t>
      </w:r>
      <w:r w:rsidR="007F4ED4" w:rsidRPr="0035095E">
        <w:rPr>
          <w:rFonts w:ascii="Times New Roman" w:hAnsi="Times New Roman" w:cs="Times New Roman"/>
          <w:sz w:val="20"/>
          <w:szCs w:val="20"/>
          <w:lang w:val="en-US"/>
        </w:rPr>
        <w:t xml:space="preserve">accounting and </w:t>
      </w:r>
      <w:r w:rsidR="002566C8" w:rsidRPr="0035095E">
        <w:rPr>
          <w:rFonts w:ascii="Times New Roman" w:hAnsi="Times New Roman" w:cs="Times New Roman"/>
          <w:sz w:val="20"/>
          <w:szCs w:val="20"/>
          <w:lang w:val="en-US"/>
        </w:rPr>
        <w:t xml:space="preserve">tax education </w:t>
      </w:r>
      <w:r w:rsidR="00350B0A" w:rsidRPr="0035095E">
        <w:rPr>
          <w:rFonts w:ascii="Times New Roman" w:hAnsi="Times New Roman" w:cs="Times New Roman"/>
          <w:sz w:val="20"/>
          <w:szCs w:val="20"/>
          <w:lang w:val="en-US"/>
        </w:rPr>
        <w:t>on</w:t>
      </w:r>
      <w:r w:rsidR="00BF6695" w:rsidRPr="0035095E">
        <w:rPr>
          <w:rFonts w:ascii="Times New Roman" w:hAnsi="Times New Roman" w:cs="Times New Roman"/>
          <w:sz w:val="20"/>
          <w:szCs w:val="20"/>
          <w:lang w:val="en-US"/>
        </w:rPr>
        <w:t xml:space="preserve"> both</w:t>
      </w:r>
      <w:r w:rsidR="00350B0A" w:rsidRPr="0035095E">
        <w:rPr>
          <w:rFonts w:ascii="Times New Roman" w:hAnsi="Times New Roman" w:cs="Times New Roman"/>
          <w:sz w:val="20"/>
          <w:szCs w:val="20"/>
          <w:lang w:val="en-US"/>
        </w:rPr>
        <w:t xml:space="preserve"> </w:t>
      </w:r>
      <w:r w:rsidR="00E85235" w:rsidRPr="0035095E">
        <w:rPr>
          <w:rFonts w:ascii="Times New Roman" w:hAnsi="Times New Roman" w:cs="Times New Roman"/>
          <w:sz w:val="20"/>
          <w:szCs w:val="20"/>
          <w:lang w:val="en-US"/>
        </w:rPr>
        <w:t>their</w:t>
      </w:r>
      <w:r w:rsidR="00350B0A" w:rsidRPr="0035095E">
        <w:rPr>
          <w:rFonts w:ascii="Times New Roman" w:hAnsi="Times New Roman" w:cs="Times New Roman"/>
          <w:sz w:val="20"/>
          <w:szCs w:val="20"/>
          <w:lang w:val="en-US"/>
        </w:rPr>
        <w:t xml:space="preserve"> tax literacy and </w:t>
      </w:r>
      <w:r w:rsidR="00BF6695" w:rsidRPr="0035095E">
        <w:rPr>
          <w:rFonts w:ascii="Times New Roman" w:hAnsi="Times New Roman" w:cs="Times New Roman"/>
          <w:sz w:val="20"/>
          <w:szCs w:val="20"/>
          <w:lang w:val="en-US"/>
        </w:rPr>
        <w:t xml:space="preserve">their </w:t>
      </w:r>
      <w:r w:rsidR="004F036D" w:rsidRPr="0035095E">
        <w:rPr>
          <w:rFonts w:ascii="Times New Roman" w:hAnsi="Times New Roman" w:cs="Times New Roman"/>
          <w:sz w:val="20"/>
          <w:szCs w:val="20"/>
          <w:lang w:val="en-US"/>
        </w:rPr>
        <w:t>t</w:t>
      </w:r>
      <w:r w:rsidR="00350B0A" w:rsidRPr="0035095E">
        <w:rPr>
          <w:rFonts w:ascii="Times New Roman" w:hAnsi="Times New Roman" w:cs="Times New Roman"/>
          <w:sz w:val="20"/>
          <w:szCs w:val="20"/>
          <w:lang w:val="en-US"/>
        </w:rPr>
        <w:t xml:space="preserve">ax confidence </w:t>
      </w:r>
      <w:r w:rsidR="002566C8" w:rsidRPr="0035095E">
        <w:rPr>
          <w:rFonts w:ascii="Times New Roman" w:hAnsi="Times New Roman" w:cs="Times New Roman"/>
          <w:sz w:val="20"/>
          <w:szCs w:val="20"/>
          <w:lang w:val="en-US"/>
        </w:rPr>
        <w:t xml:space="preserve">in the </w:t>
      </w:r>
      <w:r w:rsidR="00BF6695" w:rsidRPr="0035095E">
        <w:rPr>
          <w:rFonts w:ascii="Times New Roman" w:hAnsi="Times New Roman" w:cs="Times New Roman"/>
          <w:sz w:val="20"/>
          <w:szCs w:val="20"/>
          <w:lang w:val="en-US"/>
        </w:rPr>
        <w:t>US</w:t>
      </w:r>
      <w:r w:rsidR="002566C8" w:rsidRPr="0035095E">
        <w:rPr>
          <w:rFonts w:ascii="Times New Roman" w:hAnsi="Times New Roman" w:cs="Times New Roman"/>
          <w:sz w:val="20"/>
          <w:szCs w:val="20"/>
          <w:lang w:val="en-US"/>
        </w:rPr>
        <w:t>.</w:t>
      </w:r>
      <w:r w:rsidR="007050B5" w:rsidRPr="0035095E">
        <w:rPr>
          <w:rFonts w:ascii="Times New Roman" w:hAnsi="Times New Roman" w:cs="Times New Roman"/>
          <w:sz w:val="20"/>
          <w:szCs w:val="20"/>
          <w:lang w:val="en-US"/>
        </w:rPr>
        <w:t xml:space="preserve"> Lastly, prior tax literacy </w:t>
      </w:r>
      <w:r w:rsidR="00E85235" w:rsidRPr="0035095E">
        <w:rPr>
          <w:rFonts w:ascii="Times New Roman" w:hAnsi="Times New Roman" w:cs="Times New Roman"/>
          <w:sz w:val="20"/>
          <w:szCs w:val="20"/>
          <w:lang w:val="en-US"/>
        </w:rPr>
        <w:t>research</w:t>
      </w:r>
      <w:r w:rsidR="007050B5" w:rsidRPr="0035095E">
        <w:rPr>
          <w:rFonts w:ascii="Times New Roman" w:hAnsi="Times New Roman" w:cs="Times New Roman"/>
          <w:sz w:val="20"/>
          <w:szCs w:val="20"/>
          <w:lang w:val="en-US"/>
        </w:rPr>
        <w:t xml:space="preserve"> exclusively rel</w:t>
      </w:r>
      <w:r w:rsidR="00E85235" w:rsidRPr="0035095E">
        <w:rPr>
          <w:rFonts w:ascii="Times New Roman" w:hAnsi="Times New Roman" w:cs="Times New Roman"/>
          <w:sz w:val="20"/>
          <w:szCs w:val="20"/>
          <w:lang w:val="en-US"/>
        </w:rPr>
        <w:t>ied</w:t>
      </w:r>
      <w:r w:rsidR="007050B5" w:rsidRPr="0035095E">
        <w:rPr>
          <w:rFonts w:ascii="Times New Roman" w:hAnsi="Times New Roman" w:cs="Times New Roman"/>
          <w:sz w:val="20"/>
          <w:szCs w:val="20"/>
          <w:lang w:val="en-US"/>
        </w:rPr>
        <w:t xml:space="preserve"> on descriptive analyses to draw conclusions. </w:t>
      </w:r>
      <w:r w:rsidR="006107E8" w:rsidRPr="0035095E">
        <w:rPr>
          <w:rFonts w:ascii="Times New Roman" w:hAnsi="Times New Roman" w:cs="Times New Roman"/>
          <w:sz w:val="20"/>
          <w:szCs w:val="20"/>
          <w:lang w:val="en-US"/>
        </w:rPr>
        <w:t>O</w:t>
      </w:r>
      <w:r w:rsidR="007050B5" w:rsidRPr="0035095E">
        <w:rPr>
          <w:rFonts w:ascii="Times New Roman" w:hAnsi="Times New Roman" w:cs="Times New Roman"/>
          <w:sz w:val="20"/>
          <w:szCs w:val="20"/>
          <w:lang w:val="en-US"/>
        </w:rPr>
        <w:t xml:space="preserve">ur study uses multivariate regressions with controls </w:t>
      </w:r>
      <w:r w:rsidR="00E85235" w:rsidRPr="0035095E">
        <w:rPr>
          <w:rFonts w:ascii="Times New Roman" w:hAnsi="Times New Roman" w:cs="Times New Roman"/>
          <w:sz w:val="20"/>
          <w:szCs w:val="20"/>
          <w:lang w:val="en-US"/>
        </w:rPr>
        <w:t xml:space="preserve">for </w:t>
      </w:r>
      <w:r w:rsidR="007050B5" w:rsidRPr="0035095E">
        <w:rPr>
          <w:rFonts w:ascii="Times New Roman" w:hAnsi="Times New Roman" w:cs="Times New Roman"/>
          <w:sz w:val="20"/>
          <w:szCs w:val="20"/>
          <w:lang w:val="en-US"/>
        </w:rPr>
        <w:t>several socio-economic factors to pinpoint the most important determinants.</w:t>
      </w:r>
      <w:r w:rsidR="0035095E">
        <w:rPr>
          <w:rFonts w:ascii="Times New Roman" w:hAnsi="Times New Roman" w:cs="Times New Roman"/>
          <w:sz w:val="20"/>
          <w:szCs w:val="20"/>
          <w:lang w:val="en-US"/>
        </w:rPr>
        <w:t xml:space="preserve">  </w:t>
      </w:r>
    </w:p>
    <w:p w14:paraId="0CCCF610" w14:textId="77777777" w:rsidR="0035095E" w:rsidRPr="0035095E" w:rsidRDefault="0035095E" w:rsidP="00C45D4F">
      <w:pPr>
        <w:rPr>
          <w:rFonts w:ascii="Times New Roman" w:hAnsi="Times New Roman" w:cs="Times New Roman"/>
          <w:sz w:val="20"/>
          <w:szCs w:val="20"/>
          <w:lang w:val="en-US"/>
        </w:rPr>
      </w:pPr>
    </w:p>
    <w:p w14:paraId="2ACBA36E" w14:textId="41BFAB6B" w:rsidR="006107E8" w:rsidRPr="0035095E" w:rsidRDefault="006107E8" w:rsidP="00C45D4F">
      <w:pPr>
        <w:rPr>
          <w:rFonts w:ascii="Times New Roman" w:hAnsi="Times New Roman" w:cs="Times New Roman"/>
          <w:sz w:val="20"/>
          <w:szCs w:val="20"/>
          <w:lang w:val="en-US"/>
        </w:rPr>
      </w:pPr>
      <w:r w:rsidRPr="0035095E">
        <w:rPr>
          <w:rFonts w:ascii="Times New Roman" w:hAnsi="Times New Roman" w:cs="Times New Roman"/>
          <w:sz w:val="20"/>
          <w:szCs w:val="20"/>
          <w:lang w:val="en-US"/>
        </w:rPr>
        <w:t xml:space="preserve">The rest of the paper proceeds as follows. We review the related literature and develop our hypotheses in </w:t>
      </w:r>
      <w:r w:rsidR="00891908" w:rsidRPr="0035095E">
        <w:rPr>
          <w:rFonts w:ascii="Times New Roman" w:hAnsi="Times New Roman" w:cs="Times New Roman"/>
          <w:sz w:val="20"/>
          <w:szCs w:val="20"/>
          <w:lang w:val="en-US"/>
        </w:rPr>
        <w:t>Literature Review and Hypotheses Development</w:t>
      </w:r>
      <w:r w:rsidRPr="0035095E">
        <w:rPr>
          <w:rFonts w:ascii="Times New Roman" w:hAnsi="Times New Roman" w:cs="Times New Roman"/>
          <w:sz w:val="20"/>
          <w:szCs w:val="20"/>
          <w:lang w:val="en-US"/>
        </w:rPr>
        <w:t xml:space="preserve">. </w:t>
      </w:r>
      <w:r w:rsidR="00C65E9D" w:rsidRPr="0035095E">
        <w:rPr>
          <w:rFonts w:ascii="Times New Roman" w:hAnsi="Times New Roman" w:cs="Times New Roman"/>
          <w:sz w:val="20"/>
          <w:szCs w:val="20"/>
          <w:lang w:val="en-US"/>
        </w:rPr>
        <w:t xml:space="preserve">Then, </w:t>
      </w:r>
      <w:r w:rsidR="00891908" w:rsidRPr="0035095E">
        <w:rPr>
          <w:rFonts w:ascii="Times New Roman" w:hAnsi="Times New Roman" w:cs="Times New Roman"/>
          <w:sz w:val="20"/>
          <w:szCs w:val="20"/>
          <w:lang w:val="en-US"/>
        </w:rPr>
        <w:t xml:space="preserve">we report </w:t>
      </w:r>
      <w:r w:rsidR="00C65E9D" w:rsidRPr="0035095E">
        <w:rPr>
          <w:rFonts w:ascii="Times New Roman" w:hAnsi="Times New Roman" w:cs="Times New Roman"/>
          <w:sz w:val="20"/>
          <w:szCs w:val="20"/>
          <w:lang w:val="en-US"/>
        </w:rPr>
        <w:t>the s</w:t>
      </w:r>
      <w:r w:rsidRPr="0035095E">
        <w:rPr>
          <w:rFonts w:ascii="Times New Roman" w:hAnsi="Times New Roman" w:cs="Times New Roman"/>
          <w:sz w:val="20"/>
          <w:szCs w:val="20"/>
          <w:lang w:val="en-US"/>
        </w:rPr>
        <w:t xml:space="preserve">urvey structure and sampling process </w:t>
      </w:r>
      <w:r w:rsidR="00891908" w:rsidRPr="0035095E">
        <w:rPr>
          <w:rFonts w:ascii="Times New Roman" w:hAnsi="Times New Roman" w:cs="Times New Roman"/>
          <w:sz w:val="20"/>
          <w:szCs w:val="20"/>
          <w:lang w:val="en-US"/>
        </w:rPr>
        <w:t>and d</w:t>
      </w:r>
      <w:r w:rsidRPr="0035095E">
        <w:rPr>
          <w:rFonts w:ascii="Times New Roman" w:hAnsi="Times New Roman" w:cs="Times New Roman"/>
          <w:sz w:val="20"/>
          <w:szCs w:val="20"/>
          <w:lang w:val="en-US"/>
        </w:rPr>
        <w:t xml:space="preserve">escriptive </w:t>
      </w:r>
      <w:r w:rsidR="00891908" w:rsidRPr="0035095E">
        <w:rPr>
          <w:rFonts w:ascii="Times New Roman" w:hAnsi="Times New Roman" w:cs="Times New Roman"/>
          <w:sz w:val="20"/>
          <w:szCs w:val="20"/>
          <w:lang w:val="en-US"/>
        </w:rPr>
        <w:t>s</w:t>
      </w:r>
      <w:r w:rsidRPr="0035095E">
        <w:rPr>
          <w:rFonts w:ascii="Times New Roman" w:hAnsi="Times New Roman" w:cs="Times New Roman"/>
          <w:sz w:val="20"/>
          <w:szCs w:val="20"/>
          <w:lang w:val="en-US"/>
        </w:rPr>
        <w:t>tatistics</w:t>
      </w:r>
      <w:r w:rsidR="00891908" w:rsidRPr="0035095E">
        <w:rPr>
          <w:rFonts w:ascii="Times New Roman" w:hAnsi="Times New Roman" w:cs="Times New Roman"/>
          <w:sz w:val="20"/>
          <w:szCs w:val="20"/>
          <w:lang w:val="en-US"/>
        </w:rPr>
        <w:t xml:space="preserve">. </w:t>
      </w:r>
      <w:r w:rsidRPr="0035095E">
        <w:rPr>
          <w:rFonts w:ascii="Times New Roman" w:hAnsi="Times New Roman" w:cs="Times New Roman"/>
          <w:sz w:val="20"/>
          <w:szCs w:val="20"/>
          <w:lang w:val="en-US"/>
        </w:rPr>
        <w:t xml:space="preserve"> </w:t>
      </w:r>
      <w:r w:rsidR="00891908" w:rsidRPr="0035095E">
        <w:rPr>
          <w:rFonts w:ascii="Times New Roman" w:hAnsi="Times New Roman" w:cs="Times New Roman"/>
          <w:sz w:val="20"/>
          <w:szCs w:val="20"/>
          <w:lang w:val="en-US"/>
        </w:rPr>
        <w:t>Our findings and additional tests are discussed in Research M</w:t>
      </w:r>
      <w:r w:rsidRPr="0035095E">
        <w:rPr>
          <w:rFonts w:ascii="Times New Roman" w:hAnsi="Times New Roman" w:cs="Times New Roman"/>
          <w:sz w:val="20"/>
          <w:szCs w:val="20"/>
          <w:lang w:val="en-US"/>
        </w:rPr>
        <w:t xml:space="preserve">odels and </w:t>
      </w:r>
      <w:r w:rsidR="00891908" w:rsidRPr="0035095E">
        <w:rPr>
          <w:rFonts w:ascii="Times New Roman" w:hAnsi="Times New Roman" w:cs="Times New Roman"/>
          <w:sz w:val="20"/>
          <w:szCs w:val="20"/>
          <w:lang w:val="en-US"/>
        </w:rPr>
        <w:t>E</w:t>
      </w:r>
      <w:r w:rsidRPr="0035095E">
        <w:rPr>
          <w:rFonts w:ascii="Times New Roman" w:hAnsi="Times New Roman" w:cs="Times New Roman"/>
          <w:sz w:val="20"/>
          <w:szCs w:val="20"/>
          <w:lang w:val="en-US"/>
        </w:rPr>
        <w:t xml:space="preserve">mpirical </w:t>
      </w:r>
      <w:r w:rsidR="00891908" w:rsidRPr="0035095E">
        <w:rPr>
          <w:rFonts w:ascii="Times New Roman" w:hAnsi="Times New Roman" w:cs="Times New Roman"/>
          <w:sz w:val="20"/>
          <w:szCs w:val="20"/>
          <w:lang w:val="en-US"/>
        </w:rPr>
        <w:t>R</w:t>
      </w:r>
      <w:r w:rsidRPr="0035095E">
        <w:rPr>
          <w:rFonts w:ascii="Times New Roman" w:hAnsi="Times New Roman" w:cs="Times New Roman"/>
          <w:sz w:val="20"/>
          <w:szCs w:val="20"/>
          <w:lang w:val="en-US"/>
        </w:rPr>
        <w:t>esults</w:t>
      </w:r>
      <w:r w:rsidR="00891908" w:rsidRPr="0035095E">
        <w:rPr>
          <w:rFonts w:ascii="Times New Roman" w:hAnsi="Times New Roman" w:cs="Times New Roman"/>
          <w:sz w:val="20"/>
          <w:szCs w:val="20"/>
          <w:lang w:val="en-US"/>
        </w:rPr>
        <w:t>.</w:t>
      </w:r>
      <w:r w:rsidRPr="0035095E">
        <w:rPr>
          <w:rFonts w:ascii="Times New Roman" w:hAnsi="Times New Roman" w:cs="Times New Roman"/>
          <w:sz w:val="20"/>
          <w:szCs w:val="20"/>
          <w:lang w:val="en-US"/>
        </w:rPr>
        <w:t xml:space="preserve"> </w:t>
      </w:r>
      <w:r w:rsidR="00891908" w:rsidRPr="0035095E">
        <w:rPr>
          <w:rFonts w:ascii="Times New Roman" w:hAnsi="Times New Roman" w:cs="Times New Roman"/>
          <w:sz w:val="20"/>
          <w:szCs w:val="20"/>
          <w:lang w:val="en-US"/>
        </w:rPr>
        <w:t xml:space="preserve">Based on our findings, we provide suggestions </w:t>
      </w:r>
      <w:proofErr w:type="gramStart"/>
      <w:r w:rsidR="00891908" w:rsidRPr="0035095E">
        <w:rPr>
          <w:rFonts w:ascii="Times New Roman" w:hAnsi="Times New Roman" w:cs="Times New Roman"/>
          <w:sz w:val="20"/>
          <w:szCs w:val="20"/>
          <w:lang w:val="en-US"/>
        </w:rPr>
        <w:t>to</w:t>
      </w:r>
      <w:proofErr w:type="gramEnd"/>
      <w:r w:rsidR="00891908" w:rsidRPr="0035095E">
        <w:rPr>
          <w:rFonts w:ascii="Times New Roman" w:hAnsi="Times New Roman" w:cs="Times New Roman"/>
          <w:sz w:val="20"/>
          <w:szCs w:val="20"/>
          <w:lang w:val="en-US"/>
        </w:rPr>
        <w:t xml:space="preserve"> improving tax literacy in college students in D</w:t>
      </w:r>
      <w:r w:rsidRPr="0035095E">
        <w:rPr>
          <w:rFonts w:ascii="Times New Roman" w:hAnsi="Times New Roman" w:cs="Times New Roman"/>
          <w:sz w:val="20"/>
          <w:szCs w:val="20"/>
          <w:lang w:val="en-US"/>
        </w:rPr>
        <w:t xml:space="preserve">iscussion and </w:t>
      </w:r>
      <w:r w:rsidR="00891908" w:rsidRPr="0035095E">
        <w:rPr>
          <w:rFonts w:ascii="Times New Roman" w:hAnsi="Times New Roman" w:cs="Times New Roman"/>
          <w:sz w:val="20"/>
          <w:szCs w:val="20"/>
          <w:lang w:val="en-US"/>
        </w:rPr>
        <w:t>P</w:t>
      </w:r>
      <w:r w:rsidRPr="0035095E">
        <w:rPr>
          <w:rFonts w:ascii="Times New Roman" w:hAnsi="Times New Roman" w:cs="Times New Roman"/>
          <w:sz w:val="20"/>
          <w:szCs w:val="20"/>
          <w:lang w:val="en-US"/>
        </w:rPr>
        <w:t xml:space="preserve">olicy </w:t>
      </w:r>
      <w:r w:rsidR="00891908" w:rsidRPr="0035095E">
        <w:rPr>
          <w:rFonts w:ascii="Times New Roman" w:hAnsi="Times New Roman" w:cs="Times New Roman"/>
          <w:sz w:val="20"/>
          <w:szCs w:val="20"/>
          <w:lang w:val="en-US"/>
        </w:rPr>
        <w:t>R</w:t>
      </w:r>
      <w:r w:rsidRPr="0035095E">
        <w:rPr>
          <w:rFonts w:ascii="Times New Roman" w:hAnsi="Times New Roman" w:cs="Times New Roman"/>
          <w:sz w:val="20"/>
          <w:szCs w:val="20"/>
          <w:lang w:val="en-US"/>
        </w:rPr>
        <w:t>ecommendation</w:t>
      </w:r>
      <w:r w:rsidR="00347CE8" w:rsidRPr="0035095E">
        <w:rPr>
          <w:rFonts w:ascii="Times New Roman" w:hAnsi="Times New Roman" w:cs="Times New Roman"/>
          <w:sz w:val="20"/>
          <w:szCs w:val="20"/>
          <w:lang w:val="en-US"/>
        </w:rPr>
        <w:t>s</w:t>
      </w:r>
      <w:r w:rsidR="00891908" w:rsidRPr="0035095E">
        <w:rPr>
          <w:rFonts w:ascii="Times New Roman" w:hAnsi="Times New Roman" w:cs="Times New Roman"/>
          <w:sz w:val="20"/>
          <w:szCs w:val="20"/>
          <w:lang w:val="en-US"/>
        </w:rPr>
        <w:t>.</w:t>
      </w:r>
      <w:r w:rsidRPr="0035095E">
        <w:rPr>
          <w:rFonts w:ascii="Times New Roman" w:hAnsi="Times New Roman" w:cs="Times New Roman"/>
          <w:sz w:val="20"/>
          <w:szCs w:val="20"/>
          <w:lang w:val="en-US"/>
        </w:rPr>
        <w:t xml:space="preserve"> Lastly, we conclud</w:t>
      </w:r>
      <w:r w:rsidR="00891908" w:rsidRPr="0035095E">
        <w:rPr>
          <w:rFonts w:ascii="Times New Roman" w:hAnsi="Times New Roman" w:cs="Times New Roman"/>
          <w:sz w:val="20"/>
          <w:szCs w:val="20"/>
          <w:lang w:val="en-US"/>
        </w:rPr>
        <w:t>e the paper and report the limitation of the research in Conclusion and Research Limitations</w:t>
      </w:r>
      <w:r w:rsidRPr="0035095E">
        <w:rPr>
          <w:rFonts w:ascii="Times New Roman" w:hAnsi="Times New Roman" w:cs="Times New Roman"/>
          <w:sz w:val="20"/>
          <w:szCs w:val="20"/>
          <w:lang w:val="en-US"/>
        </w:rPr>
        <w:t>.</w:t>
      </w:r>
      <w:r w:rsidR="0035095E">
        <w:rPr>
          <w:rFonts w:ascii="Times New Roman" w:hAnsi="Times New Roman" w:cs="Times New Roman"/>
          <w:sz w:val="20"/>
          <w:szCs w:val="20"/>
          <w:lang w:val="en-US"/>
        </w:rPr>
        <w:t xml:space="preserve">  </w:t>
      </w:r>
    </w:p>
    <w:p w14:paraId="14E78DA3" w14:textId="77777777" w:rsidR="00BE236A" w:rsidRPr="0035095E" w:rsidRDefault="00BE236A" w:rsidP="00C45D4F">
      <w:pPr>
        <w:rPr>
          <w:rFonts w:ascii="Times New Roman" w:hAnsi="Times New Roman" w:cs="Times New Roman"/>
          <w:sz w:val="20"/>
          <w:szCs w:val="20"/>
          <w:lang w:val="en-US"/>
        </w:rPr>
      </w:pPr>
    </w:p>
    <w:p w14:paraId="31AFEE6F" w14:textId="65307433" w:rsidR="00B266EF" w:rsidRDefault="00B266EF" w:rsidP="00C45D4F">
      <w:pPr>
        <w:rPr>
          <w:rFonts w:ascii="Times New Roman" w:hAnsi="Times New Roman" w:cs="Times New Roman"/>
          <w:b/>
          <w:bCs/>
          <w:sz w:val="20"/>
          <w:szCs w:val="20"/>
          <w:lang w:val="en-US"/>
        </w:rPr>
      </w:pPr>
      <w:r w:rsidRPr="0035095E">
        <w:rPr>
          <w:rFonts w:ascii="Times New Roman" w:hAnsi="Times New Roman" w:cs="Times New Roman"/>
          <w:b/>
          <w:bCs/>
          <w:sz w:val="20"/>
          <w:szCs w:val="20"/>
          <w:lang w:val="en-US"/>
        </w:rPr>
        <w:t>Literature</w:t>
      </w:r>
      <w:r w:rsidR="00A0387F" w:rsidRPr="0035095E">
        <w:rPr>
          <w:rFonts w:ascii="Times New Roman" w:hAnsi="Times New Roman" w:cs="Times New Roman"/>
          <w:b/>
          <w:bCs/>
          <w:sz w:val="20"/>
          <w:szCs w:val="20"/>
          <w:lang w:val="en-US"/>
        </w:rPr>
        <w:t xml:space="preserve"> Review</w:t>
      </w:r>
      <w:r w:rsidR="000F4BC7" w:rsidRPr="0035095E">
        <w:rPr>
          <w:rFonts w:ascii="Times New Roman" w:hAnsi="Times New Roman" w:cs="Times New Roman"/>
          <w:b/>
          <w:bCs/>
          <w:sz w:val="20"/>
          <w:szCs w:val="20"/>
          <w:lang w:val="en-US"/>
        </w:rPr>
        <w:t xml:space="preserve"> and </w:t>
      </w:r>
      <w:r w:rsidR="00A75FED" w:rsidRPr="0035095E">
        <w:rPr>
          <w:rFonts w:ascii="Times New Roman" w:hAnsi="Times New Roman" w:cs="Times New Roman"/>
          <w:b/>
          <w:bCs/>
          <w:sz w:val="20"/>
          <w:szCs w:val="20"/>
          <w:lang w:val="en-US"/>
        </w:rPr>
        <w:t>Hypothes</w:t>
      </w:r>
      <w:r w:rsidR="00D4711C" w:rsidRPr="0035095E">
        <w:rPr>
          <w:rFonts w:ascii="Times New Roman" w:hAnsi="Times New Roman" w:cs="Times New Roman"/>
          <w:b/>
          <w:bCs/>
          <w:sz w:val="20"/>
          <w:szCs w:val="20"/>
          <w:lang w:val="en-US"/>
        </w:rPr>
        <w:t>e</w:t>
      </w:r>
      <w:r w:rsidR="00A75FED" w:rsidRPr="0035095E">
        <w:rPr>
          <w:rFonts w:ascii="Times New Roman" w:hAnsi="Times New Roman" w:cs="Times New Roman"/>
          <w:b/>
          <w:bCs/>
          <w:sz w:val="20"/>
          <w:szCs w:val="20"/>
          <w:lang w:val="en-US"/>
        </w:rPr>
        <w:t>s</w:t>
      </w:r>
      <w:r w:rsidR="000F4BC7" w:rsidRPr="0035095E">
        <w:rPr>
          <w:rFonts w:ascii="Times New Roman" w:hAnsi="Times New Roman" w:cs="Times New Roman"/>
          <w:b/>
          <w:bCs/>
          <w:sz w:val="20"/>
          <w:szCs w:val="20"/>
          <w:lang w:val="en-US"/>
        </w:rPr>
        <w:t xml:space="preserve"> Development</w:t>
      </w:r>
    </w:p>
    <w:p w14:paraId="56EF4907" w14:textId="77777777" w:rsidR="0035095E" w:rsidRDefault="0035095E" w:rsidP="00C45D4F">
      <w:pPr>
        <w:rPr>
          <w:rFonts w:ascii="Times New Roman" w:hAnsi="Times New Roman" w:cs="Times New Roman"/>
          <w:b/>
          <w:bCs/>
          <w:sz w:val="20"/>
          <w:szCs w:val="20"/>
          <w:lang w:val="en-US"/>
        </w:rPr>
      </w:pPr>
    </w:p>
    <w:p w14:paraId="3FA3CD3F" w14:textId="444F4F37" w:rsidR="00B94262" w:rsidRDefault="00D4711C" w:rsidP="00C45D4F">
      <w:pPr>
        <w:rPr>
          <w:rFonts w:ascii="Times New Roman" w:hAnsi="Times New Roman" w:cs="Times New Roman"/>
          <w:sz w:val="20"/>
          <w:szCs w:val="20"/>
          <w:lang w:val="en-US"/>
        </w:rPr>
      </w:pPr>
      <w:r w:rsidRPr="0035095E">
        <w:rPr>
          <w:rFonts w:ascii="Times New Roman" w:hAnsi="Times New Roman" w:cs="Times New Roman"/>
          <w:sz w:val="20"/>
          <w:szCs w:val="20"/>
          <w:lang w:val="en-US"/>
        </w:rPr>
        <w:t>N</w:t>
      </w:r>
      <w:r w:rsidR="00C066DB" w:rsidRPr="0035095E">
        <w:rPr>
          <w:rFonts w:ascii="Times New Roman" w:hAnsi="Times New Roman" w:cs="Times New Roman"/>
          <w:sz w:val="20"/>
          <w:szCs w:val="20"/>
          <w:lang w:val="en-US"/>
        </w:rPr>
        <w:t>umerous studies analyz</w:t>
      </w:r>
      <w:r w:rsidRPr="0035095E">
        <w:rPr>
          <w:rFonts w:ascii="Times New Roman" w:hAnsi="Times New Roman" w:cs="Times New Roman"/>
          <w:sz w:val="20"/>
          <w:szCs w:val="20"/>
          <w:lang w:val="en-US"/>
        </w:rPr>
        <w:t>e</w:t>
      </w:r>
      <w:r w:rsidR="00C066DB" w:rsidRPr="0035095E">
        <w:rPr>
          <w:rFonts w:ascii="Times New Roman" w:hAnsi="Times New Roman" w:cs="Times New Roman"/>
          <w:sz w:val="20"/>
          <w:szCs w:val="20"/>
          <w:lang w:val="en-US"/>
        </w:rPr>
        <w:t xml:space="preserve"> financial literacy, its determinants, and its relationship to financial behaviors</w:t>
      </w:r>
      <w:r w:rsidR="002938DC" w:rsidRPr="0035095E">
        <w:rPr>
          <w:rFonts w:ascii="Times New Roman" w:hAnsi="Times New Roman" w:cs="Times New Roman"/>
          <w:sz w:val="20"/>
          <w:szCs w:val="20"/>
          <w:lang w:val="en-US"/>
        </w:rPr>
        <w:t xml:space="preserve"> (Chen and </w:t>
      </w:r>
      <w:r w:rsidR="00B94262" w:rsidRPr="0035095E">
        <w:rPr>
          <w:rFonts w:ascii="Times New Roman" w:hAnsi="Times New Roman" w:cs="Times New Roman"/>
          <w:sz w:val="20"/>
          <w:szCs w:val="20"/>
          <w:lang w:val="en-US"/>
        </w:rPr>
        <w:t>Volpe</w:t>
      </w:r>
      <w:r w:rsidR="00DE2981" w:rsidRPr="0035095E">
        <w:rPr>
          <w:rFonts w:ascii="Times New Roman" w:hAnsi="Times New Roman" w:cs="Times New Roman"/>
          <w:sz w:val="20"/>
          <w:szCs w:val="20"/>
          <w:lang w:val="en-US"/>
        </w:rPr>
        <w:t>, 1998;</w:t>
      </w:r>
      <w:r w:rsidR="00B94262" w:rsidRPr="0035095E">
        <w:rPr>
          <w:rFonts w:ascii="Times New Roman" w:hAnsi="Times New Roman" w:cs="Times New Roman"/>
          <w:sz w:val="20"/>
          <w:szCs w:val="20"/>
          <w:lang w:val="en-US"/>
        </w:rPr>
        <w:t xml:space="preserve"> </w:t>
      </w:r>
      <w:r w:rsidR="002938DC" w:rsidRPr="0035095E">
        <w:rPr>
          <w:rFonts w:ascii="Times New Roman" w:hAnsi="Times New Roman" w:cs="Times New Roman"/>
          <w:sz w:val="20"/>
          <w:szCs w:val="20"/>
          <w:lang w:val="en-US"/>
        </w:rPr>
        <w:t xml:space="preserve">Hilgert and </w:t>
      </w:r>
      <w:proofErr w:type="spellStart"/>
      <w:r w:rsidR="002938DC" w:rsidRPr="0035095E">
        <w:rPr>
          <w:rFonts w:ascii="Times New Roman" w:hAnsi="Times New Roman" w:cs="Times New Roman"/>
          <w:sz w:val="20"/>
          <w:szCs w:val="20"/>
          <w:lang w:val="en-US"/>
        </w:rPr>
        <w:t>Hogart</w:t>
      </w:r>
      <w:proofErr w:type="spellEnd"/>
      <w:r w:rsidR="00DE2981" w:rsidRPr="0035095E">
        <w:rPr>
          <w:rFonts w:ascii="Times New Roman" w:hAnsi="Times New Roman" w:cs="Times New Roman"/>
          <w:sz w:val="20"/>
          <w:szCs w:val="20"/>
          <w:lang w:val="en-US"/>
        </w:rPr>
        <w:t>, 2003;</w:t>
      </w:r>
      <w:r w:rsidR="002938DC" w:rsidRPr="0035095E">
        <w:rPr>
          <w:rFonts w:ascii="Times New Roman" w:hAnsi="Times New Roman" w:cs="Times New Roman"/>
          <w:sz w:val="20"/>
          <w:szCs w:val="20"/>
          <w:lang w:val="en-US"/>
        </w:rPr>
        <w:t xml:space="preserve"> Lusardi and Wallace</w:t>
      </w:r>
      <w:r w:rsidR="00DE2981" w:rsidRPr="0035095E">
        <w:rPr>
          <w:rFonts w:ascii="Times New Roman" w:hAnsi="Times New Roman" w:cs="Times New Roman"/>
          <w:sz w:val="20"/>
          <w:szCs w:val="20"/>
          <w:lang w:val="en-US"/>
        </w:rPr>
        <w:t>,</w:t>
      </w:r>
      <w:r w:rsidR="002938DC" w:rsidRPr="0035095E">
        <w:rPr>
          <w:rFonts w:ascii="Times New Roman" w:hAnsi="Times New Roman" w:cs="Times New Roman"/>
          <w:sz w:val="20"/>
          <w:szCs w:val="20"/>
          <w:lang w:val="en-US"/>
        </w:rPr>
        <w:t xml:space="preserve"> 2013</w:t>
      </w:r>
      <w:r w:rsidR="00B94262" w:rsidRPr="0035095E">
        <w:rPr>
          <w:rFonts w:ascii="Times New Roman" w:hAnsi="Times New Roman" w:cs="Times New Roman"/>
          <w:sz w:val="20"/>
          <w:szCs w:val="20"/>
          <w:lang w:val="en-US"/>
        </w:rPr>
        <w:t xml:space="preserve">). These studies </w:t>
      </w:r>
      <w:r w:rsidR="00E412B7" w:rsidRPr="0035095E">
        <w:rPr>
          <w:rFonts w:ascii="Times New Roman" w:hAnsi="Times New Roman" w:cs="Times New Roman"/>
          <w:sz w:val="20"/>
          <w:szCs w:val="20"/>
          <w:lang w:val="en-US"/>
        </w:rPr>
        <w:t>find</w:t>
      </w:r>
      <w:r w:rsidRPr="0035095E">
        <w:rPr>
          <w:rFonts w:ascii="Times New Roman" w:hAnsi="Times New Roman" w:cs="Times New Roman"/>
          <w:sz w:val="20"/>
          <w:szCs w:val="20"/>
          <w:lang w:val="en-US"/>
        </w:rPr>
        <w:t xml:space="preserve"> </w:t>
      </w:r>
      <w:r w:rsidR="00B94262" w:rsidRPr="0035095E">
        <w:rPr>
          <w:rFonts w:ascii="Times New Roman" w:hAnsi="Times New Roman" w:cs="Times New Roman"/>
          <w:sz w:val="20"/>
          <w:szCs w:val="20"/>
          <w:lang w:val="en-US"/>
        </w:rPr>
        <w:t xml:space="preserve">that </w:t>
      </w:r>
      <w:r w:rsidR="008C4682" w:rsidRPr="0035095E">
        <w:rPr>
          <w:rFonts w:ascii="Times New Roman" w:hAnsi="Times New Roman" w:cs="Times New Roman"/>
          <w:sz w:val="20"/>
          <w:szCs w:val="20"/>
          <w:lang w:val="en-US"/>
        </w:rPr>
        <w:t xml:space="preserve">a person who has a higher level of financial literacy is more </w:t>
      </w:r>
      <w:r w:rsidR="00C014A3" w:rsidRPr="0035095E">
        <w:rPr>
          <w:rFonts w:ascii="Times New Roman" w:hAnsi="Times New Roman" w:cs="Times New Roman"/>
          <w:sz w:val="20"/>
          <w:szCs w:val="20"/>
          <w:lang w:val="en-US"/>
        </w:rPr>
        <w:t>capable</w:t>
      </w:r>
      <w:r w:rsidR="008C4682" w:rsidRPr="0035095E">
        <w:rPr>
          <w:rFonts w:ascii="Times New Roman" w:hAnsi="Times New Roman" w:cs="Times New Roman"/>
          <w:sz w:val="20"/>
          <w:szCs w:val="20"/>
          <w:lang w:val="en-US"/>
        </w:rPr>
        <w:t xml:space="preserve"> </w:t>
      </w:r>
      <w:r w:rsidRPr="0035095E">
        <w:rPr>
          <w:rFonts w:ascii="Times New Roman" w:hAnsi="Times New Roman" w:cs="Times New Roman"/>
          <w:sz w:val="20"/>
          <w:szCs w:val="20"/>
          <w:lang w:val="en-US"/>
        </w:rPr>
        <w:t xml:space="preserve">of </w:t>
      </w:r>
      <w:r w:rsidR="008C4682" w:rsidRPr="0035095E">
        <w:rPr>
          <w:rFonts w:ascii="Times New Roman" w:hAnsi="Times New Roman" w:cs="Times New Roman"/>
          <w:sz w:val="20"/>
          <w:szCs w:val="20"/>
          <w:lang w:val="en-US"/>
        </w:rPr>
        <w:t>mak</w:t>
      </w:r>
      <w:r w:rsidRPr="0035095E">
        <w:rPr>
          <w:rFonts w:ascii="Times New Roman" w:hAnsi="Times New Roman" w:cs="Times New Roman"/>
          <w:sz w:val="20"/>
          <w:szCs w:val="20"/>
          <w:lang w:val="en-US"/>
        </w:rPr>
        <w:t>ing</w:t>
      </w:r>
      <w:r w:rsidR="008C4682" w:rsidRPr="0035095E">
        <w:rPr>
          <w:rFonts w:ascii="Times New Roman" w:hAnsi="Times New Roman" w:cs="Times New Roman"/>
          <w:sz w:val="20"/>
          <w:szCs w:val="20"/>
          <w:lang w:val="en-US"/>
        </w:rPr>
        <w:t xml:space="preserve"> </w:t>
      </w:r>
      <w:r w:rsidR="00845D8A" w:rsidRPr="0035095E">
        <w:rPr>
          <w:rFonts w:ascii="Times New Roman" w:hAnsi="Times New Roman" w:cs="Times New Roman"/>
          <w:sz w:val="20"/>
          <w:szCs w:val="20"/>
          <w:lang w:val="en-US"/>
        </w:rPr>
        <w:t xml:space="preserve">healthy </w:t>
      </w:r>
      <w:r w:rsidR="008C4682" w:rsidRPr="0035095E">
        <w:rPr>
          <w:rFonts w:ascii="Times New Roman" w:hAnsi="Times New Roman" w:cs="Times New Roman"/>
          <w:sz w:val="20"/>
          <w:szCs w:val="20"/>
          <w:lang w:val="en-US"/>
        </w:rPr>
        <w:t>financial transactions (Krische</w:t>
      </w:r>
      <w:r w:rsidR="00DE2981" w:rsidRPr="0035095E">
        <w:rPr>
          <w:rFonts w:ascii="Times New Roman" w:hAnsi="Times New Roman" w:cs="Times New Roman"/>
          <w:sz w:val="20"/>
          <w:szCs w:val="20"/>
          <w:lang w:val="en-US"/>
        </w:rPr>
        <w:t>,</w:t>
      </w:r>
      <w:r w:rsidR="008C4682" w:rsidRPr="0035095E">
        <w:rPr>
          <w:rFonts w:ascii="Times New Roman" w:hAnsi="Times New Roman" w:cs="Times New Roman"/>
          <w:sz w:val="20"/>
          <w:szCs w:val="20"/>
          <w:lang w:val="en-US"/>
        </w:rPr>
        <w:t xml:space="preserve"> 2019), </w:t>
      </w:r>
      <w:r w:rsidR="001D5A83" w:rsidRPr="0035095E">
        <w:rPr>
          <w:rFonts w:ascii="Times New Roman" w:hAnsi="Times New Roman" w:cs="Times New Roman"/>
          <w:sz w:val="20"/>
          <w:szCs w:val="20"/>
          <w:lang w:val="en-US"/>
        </w:rPr>
        <w:t xml:space="preserve">more likely to </w:t>
      </w:r>
      <w:r w:rsidR="008C4682" w:rsidRPr="0035095E">
        <w:rPr>
          <w:rFonts w:ascii="Times New Roman" w:hAnsi="Times New Roman" w:cs="Times New Roman"/>
          <w:sz w:val="20"/>
          <w:szCs w:val="20"/>
          <w:lang w:val="en-US"/>
        </w:rPr>
        <w:t>ha</w:t>
      </w:r>
      <w:r w:rsidR="00C014A3" w:rsidRPr="0035095E">
        <w:rPr>
          <w:rFonts w:ascii="Times New Roman" w:hAnsi="Times New Roman" w:cs="Times New Roman"/>
          <w:sz w:val="20"/>
          <w:szCs w:val="20"/>
          <w:lang w:val="en-US"/>
        </w:rPr>
        <w:t>ve</w:t>
      </w:r>
      <w:r w:rsidR="008C4682" w:rsidRPr="0035095E">
        <w:rPr>
          <w:rFonts w:ascii="Times New Roman" w:hAnsi="Times New Roman" w:cs="Times New Roman"/>
          <w:sz w:val="20"/>
          <w:szCs w:val="20"/>
          <w:lang w:val="en-US"/>
        </w:rPr>
        <w:t xml:space="preserve"> </w:t>
      </w:r>
      <w:r w:rsidRPr="0035095E">
        <w:rPr>
          <w:rFonts w:ascii="Times New Roman" w:hAnsi="Times New Roman" w:cs="Times New Roman"/>
          <w:sz w:val="20"/>
          <w:szCs w:val="20"/>
          <w:lang w:val="en-US"/>
        </w:rPr>
        <w:t xml:space="preserve">a </w:t>
      </w:r>
      <w:r w:rsidR="008C4682" w:rsidRPr="0035095E">
        <w:rPr>
          <w:rFonts w:ascii="Times New Roman" w:hAnsi="Times New Roman" w:cs="Times New Roman"/>
          <w:sz w:val="20"/>
          <w:szCs w:val="20"/>
          <w:lang w:val="en-US"/>
        </w:rPr>
        <w:t xml:space="preserve">contingent savings account (de Bassa </w:t>
      </w:r>
      <w:proofErr w:type="spellStart"/>
      <w:r w:rsidR="008C4682" w:rsidRPr="0035095E">
        <w:rPr>
          <w:rFonts w:ascii="Times New Roman" w:hAnsi="Times New Roman" w:cs="Times New Roman"/>
          <w:sz w:val="20"/>
          <w:szCs w:val="20"/>
          <w:lang w:val="en-US"/>
        </w:rPr>
        <w:t>Scheresberg</w:t>
      </w:r>
      <w:proofErr w:type="spellEnd"/>
      <w:r w:rsidR="00DE2981" w:rsidRPr="0035095E">
        <w:rPr>
          <w:rFonts w:ascii="Times New Roman" w:hAnsi="Times New Roman" w:cs="Times New Roman"/>
          <w:sz w:val="20"/>
          <w:szCs w:val="20"/>
          <w:lang w:val="en-US"/>
        </w:rPr>
        <w:t>,</w:t>
      </w:r>
      <w:r w:rsidR="008C4682" w:rsidRPr="0035095E">
        <w:rPr>
          <w:rFonts w:ascii="Times New Roman" w:hAnsi="Times New Roman" w:cs="Times New Roman"/>
          <w:sz w:val="20"/>
          <w:szCs w:val="20"/>
          <w:lang w:val="en-US"/>
        </w:rPr>
        <w:t xml:space="preserve"> 2013), and less likely to </w:t>
      </w:r>
      <w:r w:rsidR="00AB0AF1" w:rsidRPr="0035095E">
        <w:rPr>
          <w:rFonts w:ascii="Times New Roman" w:hAnsi="Times New Roman" w:cs="Times New Roman"/>
          <w:sz w:val="20"/>
          <w:szCs w:val="20"/>
          <w:lang w:val="en-US"/>
        </w:rPr>
        <w:t>use</w:t>
      </w:r>
      <w:r w:rsidR="008C4682" w:rsidRPr="0035095E">
        <w:rPr>
          <w:rFonts w:ascii="Times New Roman" w:hAnsi="Times New Roman" w:cs="Times New Roman"/>
          <w:sz w:val="20"/>
          <w:szCs w:val="20"/>
          <w:lang w:val="en-US"/>
        </w:rPr>
        <w:t xml:space="preserve"> payday loans</w:t>
      </w:r>
      <w:r w:rsidR="00B94262" w:rsidRPr="0035095E">
        <w:rPr>
          <w:rFonts w:ascii="Times New Roman" w:hAnsi="Times New Roman" w:cs="Times New Roman"/>
          <w:sz w:val="20"/>
          <w:szCs w:val="20"/>
          <w:lang w:val="en-US"/>
        </w:rPr>
        <w:t xml:space="preserve"> </w:t>
      </w:r>
      <w:r w:rsidR="008C4682" w:rsidRPr="0035095E">
        <w:rPr>
          <w:rFonts w:ascii="Times New Roman" w:hAnsi="Times New Roman" w:cs="Times New Roman"/>
          <w:sz w:val="20"/>
          <w:szCs w:val="20"/>
          <w:lang w:val="en-US"/>
        </w:rPr>
        <w:t>(Kim and Lee</w:t>
      </w:r>
      <w:r w:rsidR="00DE2981" w:rsidRPr="0035095E">
        <w:rPr>
          <w:rFonts w:ascii="Times New Roman" w:hAnsi="Times New Roman" w:cs="Times New Roman"/>
          <w:sz w:val="20"/>
          <w:szCs w:val="20"/>
          <w:lang w:val="en-US"/>
        </w:rPr>
        <w:t>,</w:t>
      </w:r>
      <w:r w:rsidR="008C4682" w:rsidRPr="0035095E">
        <w:rPr>
          <w:rFonts w:ascii="Times New Roman" w:hAnsi="Times New Roman" w:cs="Times New Roman"/>
          <w:sz w:val="20"/>
          <w:szCs w:val="20"/>
          <w:lang w:val="en-US"/>
        </w:rPr>
        <w:t xml:space="preserve"> 2018). </w:t>
      </w:r>
      <w:r w:rsidR="00CD144D" w:rsidRPr="0035095E">
        <w:rPr>
          <w:rFonts w:ascii="Times New Roman" w:hAnsi="Times New Roman" w:cs="Times New Roman"/>
          <w:sz w:val="20"/>
          <w:szCs w:val="20"/>
          <w:lang w:val="en-US"/>
        </w:rPr>
        <w:t>Existing</w:t>
      </w:r>
      <w:r w:rsidR="008C4682" w:rsidRPr="0035095E">
        <w:rPr>
          <w:rFonts w:ascii="Times New Roman" w:hAnsi="Times New Roman" w:cs="Times New Roman"/>
          <w:sz w:val="20"/>
          <w:szCs w:val="20"/>
          <w:lang w:val="en-US"/>
        </w:rPr>
        <w:t xml:space="preserve"> studies </w:t>
      </w:r>
      <w:r w:rsidRPr="0035095E">
        <w:rPr>
          <w:rFonts w:ascii="Times New Roman" w:hAnsi="Times New Roman" w:cs="Times New Roman"/>
          <w:sz w:val="20"/>
          <w:szCs w:val="20"/>
          <w:lang w:val="en-US"/>
        </w:rPr>
        <w:t xml:space="preserve">have </w:t>
      </w:r>
      <w:r w:rsidR="008C4682" w:rsidRPr="0035095E">
        <w:rPr>
          <w:rFonts w:ascii="Times New Roman" w:hAnsi="Times New Roman" w:cs="Times New Roman"/>
          <w:sz w:val="20"/>
          <w:szCs w:val="20"/>
          <w:lang w:val="en-US"/>
        </w:rPr>
        <w:t>also point</w:t>
      </w:r>
      <w:r w:rsidRPr="0035095E">
        <w:rPr>
          <w:rFonts w:ascii="Times New Roman" w:hAnsi="Times New Roman" w:cs="Times New Roman"/>
          <w:sz w:val="20"/>
          <w:szCs w:val="20"/>
          <w:lang w:val="en-US"/>
        </w:rPr>
        <w:t>ed</w:t>
      </w:r>
      <w:r w:rsidR="008C4682" w:rsidRPr="0035095E">
        <w:rPr>
          <w:rFonts w:ascii="Times New Roman" w:hAnsi="Times New Roman" w:cs="Times New Roman"/>
          <w:sz w:val="20"/>
          <w:szCs w:val="20"/>
          <w:lang w:val="en-US"/>
        </w:rPr>
        <w:t xml:space="preserve"> out that </w:t>
      </w:r>
      <w:r w:rsidRPr="0035095E">
        <w:rPr>
          <w:rFonts w:ascii="Times New Roman" w:hAnsi="Times New Roman" w:cs="Times New Roman"/>
          <w:sz w:val="20"/>
          <w:szCs w:val="20"/>
          <w:lang w:val="en-US"/>
        </w:rPr>
        <w:t xml:space="preserve">the </w:t>
      </w:r>
      <w:r w:rsidR="00222F7D" w:rsidRPr="0035095E">
        <w:rPr>
          <w:rFonts w:ascii="Times New Roman" w:hAnsi="Times New Roman" w:cs="Times New Roman"/>
          <w:sz w:val="20"/>
          <w:szCs w:val="20"/>
          <w:lang w:val="en-US"/>
        </w:rPr>
        <w:t>younger</w:t>
      </w:r>
      <w:r w:rsidR="008C4682" w:rsidRPr="0035095E">
        <w:rPr>
          <w:rFonts w:ascii="Times New Roman" w:hAnsi="Times New Roman" w:cs="Times New Roman"/>
          <w:sz w:val="20"/>
          <w:szCs w:val="20"/>
          <w:lang w:val="en-US"/>
        </w:rPr>
        <w:t xml:space="preserve"> generation </w:t>
      </w:r>
      <w:r w:rsidR="001B2EC5" w:rsidRPr="0035095E">
        <w:rPr>
          <w:rFonts w:ascii="Times New Roman" w:hAnsi="Times New Roman" w:cs="Times New Roman"/>
          <w:sz w:val="20"/>
          <w:szCs w:val="20"/>
          <w:lang w:val="en-US"/>
        </w:rPr>
        <w:t xml:space="preserve">lags in financial literacy </w:t>
      </w:r>
      <w:r w:rsidR="008C4682" w:rsidRPr="0035095E">
        <w:rPr>
          <w:rFonts w:ascii="Times New Roman" w:hAnsi="Times New Roman" w:cs="Times New Roman"/>
          <w:sz w:val="20"/>
          <w:szCs w:val="20"/>
          <w:lang w:val="en-US"/>
        </w:rPr>
        <w:t>(Lusardi</w:t>
      </w:r>
      <w:r w:rsidR="00DE2981" w:rsidRPr="0035095E">
        <w:rPr>
          <w:rFonts w:ascii="Times New Roman" w:hAnsi="Times New Roman" w:cs="Times New Roman"/>
          <w:sz w:val="20"/>
          <w:szCs w:val="20"/>
          <w:lang w:val="en-US"/>
        </w:rPr>
        <w:t xml:space="preserve"> et al.,</w:t>
      </w:r>
      <w:r w:rsidR="008C4682" w:rsidRPr="0035095E">
        <w:rPr>
          <w:rFonts w:ascii="Times New Roman" w:hAnsi="Times New Roman" w:cs="Times New Roman"/>
          <w:sz w:val="20"/>
          <w:szCs w:val="20"/>
          <w:lang w:val="en-US"/>
        </w:rPr>
        <w:t xml:space="preserve"> 2010</w:t>
      </w:r>
      <w:r w:rsidR="00312C57" w:rsidRPr="0035095E">
        <w:rPr>
          <w:rFonts w:ascii="Times New Roman" w:hAnsi="Times New Roman" w:cs="Times New Roman"/>
          <w:sz w:val="20"/>
          <w:szCs w:val="20"/>
          <w:lang w:val="en-US"/>
        </w:rPr>
        <w:t>;</w:t>
      </w:r>
      <w:r w:rsidR="008C4682" w:rsidRPr="0035095E">
        <w:rPr>
          <w:rFonts w:ascii="Times New Roman" w:hAnsi="Times New Roman" w:cs="Times New Roman"/>
          <w:sz w:val="20"/>
          <w:szCs w:val="20"/>
          <w:lang w:val="en-US"/>
        </w:rPr>
        <w:t xml:space="preserve"> </w:t>
      </w:r>
      <w:r w:rsidR="00B94262" w:rsidRPr="0035095E">
        <w:rPr>
          <w:rFonts w:ascii="Times New Roman" w:hAnsi="Times New Roman" w:cs="Times New Roman"/>
          <w:sz w:val="20"/>
          <w:szCs w:val="20"/>
          <w:lang w:val="en-US"/>
        </w:rPr>
        <w:t xml:space="preserve">Jacobsen </w:t>
      </w:r>
      <w:r w:rsidR="00DE2981" w:rsidRPr="0035095E">
        <w:rPr>
          <w:rFonts w:ascii="Times New Roman" w:hAnsi="Times New Roman" w:cs="Times New Roman"/>
          <w:sz w:val="20"/>
          <w:szCs w:val="20"/>
          <w:lang w:val="en-US"/>
        </w:rPr>
        <w:t xml:space="preserve">and </w:t>
      </w:r>
      <w:r w:rsidR="00B94262" w:rsidRPr="0035095E">
        <w:rPr>
          <w:rFonts w:ascii="Times New Roman" w:hAnsi="Times New Roman" w:cs="Times New Roman"/>
          <w:sz w:val="20"/>
          <w:szCs w:val="20"/>
          <w:lang w:val="en-US"/>
        </w:rPr>
        <w:t>Correia</w:t>
      </w:r>
      <w:r w:rsidR="00DE2981" w:rsidRPr="0035095E">
        <w:rPr>
          <w:rFonts w:ascii="Times New Roman" w:hAnsi="Times New Roman" w:cs="Times New Roman"/>
          <w:sz w:val="20"/>
          <w:szCs w:val="20"/>
          <w:lang w:val="en-US"/>
        </w:rPr>
        <w:t>,</w:t>
      </w:r>
      <w:r w:rsidR="00B94262" w:rsidRPr="0035095E">
        <w:rPr>
          <w:rFonts w:ascii="Times New Roman" w:hAnsi="Times New Roman" w:cs="Times New Roman"/>
          <w:sz w:val="20"/>
          <w:szCs w:val="20"/>
          <w:lang w:val="en-US"/>
        </w:rPr>
        <w:t xml:space="preserve"> 2019).</w:t>
      </w:r>
      <w:r w:rsidR="00C066DB" w:rsidRPr="0035095E">
        <w:rPr>
          <w:rFonts w:ascii="Times New Roman" w:hAnsi="Times New Roman" w:cs="Times New Roman"/>
          <w:sz w:val="20"/>
          <w:szCs w:val="20"/>
          <w:lang w:val="en-US"/>
        </w:rPr>
        <w:t xml:space="preserve"> </w:t>
      </w:r>
      <w:r w:rsidR="00CD144D" w:rsidRPr="0035095E">
        <w:rPr>
          <w:rFonts w:ascii="Times New Roman" w:hAnsi="Times New Roman" w:cs="Times New Roman"/>
          <w:sz w:val="20"/>
          <w:szCs w:val="20"/>
          <w:lang w:val="en-US"/>
        </w:rPr>
        <w:t>Accordingly, a</w:t>
      </w:r>
      <w:r w:rsidR="001B2EC5" w:rsidRPr="0035095E">
        <w:rPr>
          <w:rFonts w:ascii="Times New Roman" w:hAnsi="Times New Roman" w:cs="Times New Roman"/>
          <w:sz w:val="20"/>
          <w:szCs w:val="20"/>
          <w:lang w:val="en-US"/>
        </w:rPr>
        <w:t xml:space="preserve">fter the financial crisis in 2008, </w:t>
      </w:r>
      <w:r w:rsidR="00DA7F43" w:rsidRPr="0035095E">
        <w:rPr>
          <w:rFonts w:ascii="Times New Roman" w:hAnsi="Times New Roman" w:cs="Times New Roman"/>
          <w:sz w:val="20"/>
          <w:szCs w:val="20"/>
          <w:lang w:val="en-US"/>
        </w:rPr>
        <w:t>President Bush</w:t>
      </w:r>
      <w:r w:rsidR="00222F7D" w:rsidRPr="0035095E">
        <w:rPr>
          <w:rFonts w:ascii="Times New Roman" w:hAnsi="Times New Roman" w:cs="Times New Roman"/>
          <w:sz w:val="20"/>
          <w:szCs w:val="20"/>
          <w:lang w:val="en-US"/>
        </w:rPr>
        <w:t xml:space="preserve"> launched various</w:t>
      </w:r>
      <w:r w:rsidR="007C17DC" w:rsidRPr="0035095E">
        <w:rPr>
          <w:rFonts w:ascii="Times New Roman" w:hAnsi="Times New Roman" w:cs="Times New Roman"/>
          <w:sz w:val="20"/>
          <w:szCs w:val="20"/>
          <w:lang w:val="en-US"/>
        </w:rPr>
        <w:t xml:space="preserve"> efforts to improve the </w:t>
      </w:r>
      <w:r w:rsidR="001B2EC5" w:rsidRPr="0035095E">
        <w:rPr>
          <w:rFonts w:ascii="Times New Roman" w:hAnsi="Times New Roman" w:cs="Times New Roman"/>
          <w:sz w:val="20"/>
          <w:szCs w:val="20"/>
          <w:lang w:val="en-US"/>
        </w:rPr>
        <w:t xml:space="preserve">financial literacy </w:t>
      </w:r>
      <w:r w:rsidR="007C17DC" w:rsidRPr="0035095E">
        <w:rPr>
          <w:rFonts w:ascii="Times New Roman" w:hAnsi="Times New Roman" w:cs="Times New Roman"/>
          <w:sz w:val="20"/>
          <w:szCs w:val="20"/>
          <w:lang w:val="en-US"/>
        </w:rPr>
        <w:t>of the population</w:t>
      </w:r>
      <w:r w:rsidR="009E70F1" w:rsidRPr="0035095E">
        <w:rPr>
          <w:rFonts w:ascii="Times New Roman" w:hAnsi="Times New Roman" w:cs="Times New Roman"/>
          <w:sz w:val="20"/>
          <w:szCs w:val="20"/>
          <w:lang w:val="en-US"/>
        </w:rPr>
        <w:t xml:space="preserve"> (73 Fed. Reg. 4445)</w:t>
      </w:r>
      <w:r w:rsidR="00856DD6" w:rsidRPr="0035095E">
        <w:rPr>
          <w:rFonts w:ascii="Times New Roman" w:hAnsi="Times New Roman" w:cs="Times New Roman"/>
          <w:sz w:val="20"/>
          <w:szCs w:val="20"/>
          <w:lang w:val="en-US"/>
        </w:rPr>
        <w:t>;</w:t>
      </w:r>
      <w:r w:rsidR="007C17DC" w:rsidRPr="0035095E">
        <w:rPr>
          <w:rFonts w:ascii="Times New Roman" w:hAnsi="Times New Roman" w:cs="Times New Roman"/>
          <w:sz w:val="20"/>
          <w:szCs w:val="20"/>
          <w:lang w:val="en-US"/>
        </w:rPr>
        <w:t xml:space="preserve"> </w:t>
      </w:r>
      <w:r w:rsidR="001B2EC5" w:rsidRPr="0035095E">
        <w:rPr>
          <w:rFonts w:ascii="Times New Roman" w:hAnsi="Times New Roman" w:cs="Times New Roman"/>
          <w:sz w:val="20"/>
          <w:szCs w:val="20"/>
          <w:lang w:val="en-US"/>
        </w:rPr>
        <w:t xml:space="preserve">and </w:t>
      </w:r>
      <w:r w:rsidR="00222F7D" w:rsidRPr="0035095E">
        <w:rPr>
          <w:rFonts w:ascii="Times New Roman" w:hAnsi="Times New Roman" w:cs="Times New Roman"/>
          <w:sz w:val="20"/>
          <w:szCs w:val="20"/>
          <w:lang w:val="en-US"/>
        </w:rPr>
        <w:t>in 201</w:t>
      </w:r>
      <w:r w:rsidR="007B28AF" w:rsidRPr="0035095E">
        <w:rPr>
          <w:rFonts w:ascii="Times New Roman" w:hAnsi="Times New Roman" w:cs="Times New Roman"/>
          <w:sz w:val="20"/>
          <w:szCs w:val="20"/>
          <w:lang w:val="en-US"/>
        </w:rPr>
        <w:t>0</w:t>
      </w:r>
      <w:r w:rsidR="00845D8A" w:rsidRPr="0035095E">
        <w:rPr>
          <w:rFonts w:ascii="Times New Roman" w:hAnsi="Times New Roman" w:cs="Times New Roman"/>
          <w:sz w:val="20"/>
          <w:szCs w:val="20"/>
          <w:lang w:val="en-US"/>
        </w:rPr>
        <w:t>,</w:t>
      </w:r>
      <w:r w:rsidR="00222F7D" w:rsidRPr="0035095E">
        <w:rPr>
          <w:rFonts w:ascii="Times New Roman" w:hAnsi="Times New Roman" w:cs="Times New Roman"/>
          <w:sz w:val="20"/>
          <w:szCs w:val="20"/>
          <w:lang w:val="en-US"/>
        </w:rPr>
        <w:t xml:space="preserve"> </w:t>
      </w:r>
      <w:r w:rsidR="001B2EC5" w:rsidRPr="0035095E">
        <w:rPr>
          <w:rFonts w:ascii="Times New Roman" w:hAnsi="Times New Roman" w:cs="Times New Roman"/>
          <w:sz w:val="20"/>
          <w:szCs w:val="20"/>
          <w:lang w:val="en-US"/>
        </w:rPr>
        <w:t>President Obama</w:t>
      </w:r>
      <w:r w:rsidR="00DA7F43" w:rsidRPr="0035095E">
        <w:rPr>
          <w:rFonts w:ascii="Times New Roman" w:hAnsi="Times New Roman" w:cs="Times New Roman"/>
          <w:sz w:val="20"/>
          <w:szCs w:val="20"/>
          <w:lang w:val="en-US"/>
        </w:rPr>
        <w:t xml:space="preserve"> signed an executive order to establish an advisory council to improve the </w:t>
      </w:r>
      <w:r w:rsidR="001B2EC5" w:rsidRPr="0035095E">
        <w:rPr>
          <w:rFonts w:ascii="Times New Roman" w:hAnsi="Times New Roman" w:cs="Times New Roman"/>
          <w:sz w:val="20"/>
          <w:szCs w:val="20"/>
          <w:lang w:val="en-US"/>
        </w:rPr>
        <w:t xml:space="preserve">financial </w:t>
      </w:r>
      <w:r w:rsidR="00F527ED" w:rsidRPr="0035095E">
        <w:rPr>
          <w:rFonts w:ascii="Times New Roman" w:hAnsi="Times New Roman" w:cs="Times New Roman"/>
          <w:sz w:val="20"/>
          <w:szCs w:val="20"/>
          <w:lang w:val="en-US"/>
        </w:rPr>
        <w:t xml:space="preserve">capabilities </w:t>
      </w:r>
      <w:r w:rsidRPr="0035095E">
        <w:rPr>
          <w:rFonts w:ascii="Times New Roman" w:hAnsi="Times New Roman" w:cs="Times New Roman"/>
          <w:sz w:val="20"/>
          <w:szCs w:val="20"/>
          <w:lang w:val="en-US"/>
        </w:rPr>
        <w:t xml:space="preserve">of </w:t>
      </w:r>
      <w:r w:rsidR="00DA7F43" w:rsidRPr="0035095E">
        <w:rPr>
          <w:rFonts w:ascii="Times New Roman" w:hAnsi="Times New Roman" w:cs="Times New Roman"/>
          <w:sz w:val="20"/>
          <w:szCs w:val="20"/>
          <w:lang w:val="en-US"/>
        </w:rPr>
        <w:t>young Americans</w:t>
      </w:r>
      <w:r w:rsidR="009E70F1" w:rsidRPr="0035095E">
        <w:rPr>
          <w:rFonts w:ascii="Times New Roman" w:hAnsi="Times New Roman" w:cs="Times New Roman"/>
          <w:sz w:val="20"/>
          <w:szCs w:val="20"/>
          <w:lang w:val="en-US"/>
        </w:rPr>
        <w:t xml:space="preserve"> (75 Fed. Reg. 5481)</w:t>
      </w:r>
      <w:r w:rsidR="00DA7F43" w:rsidRPr="0035095E">
        <w:rPr>
          <w:rFonts w:ascii="Times New Roman" w:hAnsi="Times New Roman" w:cs="Times New Roman"/>
          <w:sz w:val="20"/>
          <w:szCs w:val="20"/>
          <w:lang w:val="en-US"/>
        </w:rPr>
        <w:t>.</w:t>
      </w:r>
      <w:r w:rsidR="00502166" w:rsidRPr="0035095E">
        <w:rPr>
          <w:rFonts w:ascii="Times New Roman" w:hAnsi="Times New Roman" w:cs="Times New Roman"/>
          <w:sz w:val="20"/>
          <w:szCs w:val="20"/>
          <w:lang w:val="en-US"/>
        </w:rPr>
        <w:t xml:space="preserve"> Bernheim et al. (2001) find that the financial literacy mandates in high schools implemented by some states have long-term impact </w:t>
      </w:r>
      <w:proofErr w:type="gramStart"/>
      <w:r w:rsidR="00502166" w:rsidRPr="0035095E">
        <w:rPr>
          <w:rFonts w:ascii="Times New Roman" w:hAnsi="Times New Roman" w:cs="Times New Roman"/>
          <w:sz w:val="20"/>
          <w:szCs w:val="20"/>
          <w:lang w:val="en-US"/>
        </w:rPr>
        <w:t>of</w:t>
      </w:r>
      <w:proofErr w:type="gramEnd"/>
      <w:r w:rsidR="00502166" w:rsidRPr="0035095E">
        <w:rPr>
          <w:rFonts w:ascii="Times New Roman" w:hAnsi="Times New Roman" w:cs="Times New Roman"/>
          <w:sz w:val="20"/>
          <w:szCs w:val="20"/>
          <w:lang w:val="en-US"/>
        </w:rPr>
        <w:t xml:space="preserve"> the students’ financial behavior.</w:t>
      </w:r>
      <w:r w:rsidR="008720AB" w:rsidRPr="0035095E">
        <w:rPr>
          <w:rFonts w:ascii="Times New Roman" w:hAnsi="Times New Roman" w:cs="Times New Roman"/>
          <w:sz w:val="20"/>
          <w:szCs w:val="20"/>
          <w:lang w:val="en-US"/>
        </w:rPr>
        <w:t xml:space="preserve"> </w:t>
      </w:r>
      <w:r w:rsidR="0035095E">
        <w:rPr>
          <w:rFonts w:ascii="Times New Roman" w:hAnsi="Times New Roman" w:cs="Times New Roman"/>
          <w:sz w:val="20"/>
          <w:szCs w:val="20"/>
          <w:lang w:val="en-US"/>
        </w:rPr>
        <w:t xml:space="preserve"> </w:t>
      </w:r>
    </w:p>
    <w:p w14:paraId="04D46D8A" w14:textId="77777777" w:rsidR="0035095E" w:rsidRPr="0035095E" w:rsidRDefault="0035095E" w:rsidP="00C45D4F">
      <w:pPr>
        <w:rPr>
          <w:rFonts w:ascii="Times New Roman" w:hAnsi="Times New Roman" w:cs="Times New Roman"/>
          <w:sz w:val="20"/>
          <w:szCs w:val="20"/>
          <w:lang w:val="en-US"/>
        </w:rPr>
      </w:pPr>
    </w:p>
    <w:p w14:paraId="4DAF8447" w14:textId="7FA5282B" w:rsidR="00C46D71" w:rsidRDefault="005A070B" w:rsidP="00C45D4F">
      <w:pPr>
        <w:rPr>
          <w:rFonts w:ascii="Times New Roman" w:eastAsia="Times New Roman" w:hAnsi="Times New Roman" w:cs="Times New Roman"/>
          <w:sz w:val="20"/>
          <w:szCs w:val="20"/>
          <w:lang w:val="en-US"/>
        </w:rPr>
      </w:pPr>
      <w:r w:rsidRPr="0035095E">
        <w:rPr>
          <w:rFonts w:ascii="Times New Roman" w:eastAsia="Times New Roman" w:hAnsi="Times New Roman" w:cs="Times New Roman"/>
          <w:sz w:val="20"/>
          <w:szCs w:val="20"/>
          <w:lang w:val="en-US"/>
        </w:rPr>
        <w:t>It is well acknowledged that tax literacy is an important part of financial literacy</w:t>
      </w:r>
      <w:r w:rsidR="000A6EED" w:rsidRPr="0035095E">
        <w:rPr>
          <w:rFonts w:ascii="Times New Roman" w:eastAsia="Times New Roman" w:hAnsi="Times New Roman" w:cs="Times New Roman"/>
          <w:sz w:val="20"/>
          <w:szCs w:val="20"/>
          <w:lang w:val="en-US"/>
        </w:rPr>
        <w:t xml:space="preserve"> (Chardon</w:t>
      </w:r>
      <w:r w:rsidR="00312C57" w:rsidRPr="0035095E">
        <w:rPr>
          <w:rFonts w:ascii="Times New Roman" w:eastAsia="Times New Roman" w:hAnsi="Times New Roman" w:cs="Times New Roman"/>
          <w:sz w:val="20"/>
          <w:szCs w:val="20"/>
          <w:lang w:val="en-US"/>
        </w:rPr>
        <w:t>,</w:t>
      </w:r>
      <w:r w:rsidR="000A6EED" w:rsidRPr="0035095E">
        <w:rPr>
          <w:rFonts w:ascii="Times New Roman" w:eastAsia="Times New Roman" w:hAnsi="Times New Roman" w:cs="Times New Roman"/>
          <w:sz w:val="20"/>
          <w:szCs w:val="20"/>
          <w:lang w:val="en-US"/>
        </w:rPr>
        <w:t xml:space="preserve"> 2007)</w:t>
      </w:r>
      <w:r w:rsidR="00CD144D" w:rsidRPr="0035095E">
        <w:rPr>
          <w:rFonts w:ascii="Times New Roman" w:eastAsia="Times New Roman" w:hAnsi="Times New Roman" w:cs="Times New Roman"/>
          <w:sz w:val="20"/>
          <w:szCs w:val="20"/>
          <w:lang w:val="en-US"/>
        </w:rPr>
        <w:t xml:space="preserve">. However, </w:t>
      </w:r>
      <w:r w:rsidR="00D4711C" w:rsidRPr="0035095E">
        <w:rPr>
          <w:rFonts w:ascii="Times New Roman" w:eastAsia="Times New Roman" w:hAnsi="Times New Roman" w:cs="Times New Roman"/>
          <w:sz w:val="20"/>
          <w:szCs w:val="20"/>
          <w:lang w:val="en-US"/>
        </w:rPr>
        <w:t xml:space="preserve">not only </w:t>
      </w:r>
      <w:r w:rsidR="00E412B7" w:rsidRPr="0035095E">
        <w:rPr>
          <w:rFonts w:ascii="Times New Roman" w:eastAsia="Times New Roman" w:hAnsi="Times New Roman" w:cs="Times New Roman"/>
          <w:sz w:val="20"/>
          <w:szCs w:val="20"/>
          <w:lang w:val="en-US"/>
        </w:rPr>
        <w:t xml:space="preserve">is </w:t>
      </w:r>
      <w:r w:rsidR="00347CE8" w:rsidRPr="0035095E">
        <w:rPr>
          <w:rFonts w:ascii="Times New Roman" w:eastAsia="Times New Roman" w:hAnsi="Times New Roman" w:cs="Times New Roman"/>
          <w:sz w:val="20"/>
          <w:szCs w:val="20"/>
          <w:lang w:val="en-US"/>
        </w:rPr>
        <w:t xml:space="preserve">research on tax literacy independent from research </w:t>
      </w:r>
      <w:r w:rsidR="00D4711C" w:rsidRPr="0035095E">
        <w:rPr>
          <w:rFonts w:ascii="Times New Roman" w:eastAsia="Times New Roman" w:hAnsi="Times New Roman" w:cs="Times New Roman"/>
          <w:sz w:val="20"/>
          <w:szCs w:val="20"/>
          <w:lang w:val="en-US"/>
        </w:rPr>
        <w:t xml:space="preserve">on </w:t>
      </w:r>
      <w:r w:rsidR="00347CE8" w:rsidRPr="0035095E">
        <w:rPr>
          <w:rFonts w:ascii="Times New Roman" w:eastAsia="Times New Roman" w:hAnsi="Times New Roman" w:cs="Times New Roman"/>
          <w:sz w:val="20"/>
          <w:szCs w:val="20"/>
          <w:lang w:val="en-US"/>
        </w:rPr>
        <w:t>financial literacy</w:t>
      </w:r>
      <w:r w:rsidR="00CD144D" w:rsidRPr="0035095E">
        <w:rPr>
          <w:rFonts w:ascii="Times New Roman" w:eastAsia="Times New Roman" w:hAnsi="Times New Roman" w:cs="Times New Roman"/>
          <w:sz w:val="20"/>
          <w:szCs w:val="20"/>
          <w:lang w:val="en-US"/>
        </w:rPr>
        <w:t>,</w:t>
      </w:r>
      <w:r w:rsidR="00347CE8" w:rsidRPr="0035095E">
        <w:rPr>
          <w:rFonts w:ascii="Times New Roman" w:eastAsia="Times New Roman" w:hAnsi="Times New Roman" w:cs="Times New Roman"/>
          <w:sz w:val="20"/>
          <w:szCs w:val="20"/>
          <w:lang w:val="en-US"/>
        </w:rPr>
        <w:t xml:space="preserve"> but </w:t>
      </w:r>
      <w:r w:rsidR="00D4711C" w:rsidRPr="0035095E">
        <w:rPr>
          <w:rFonts w:ascii="Times New Roman" w:eastAsia="Times New Roman" w:hAnsi="Times New Roman" w:cs="Times New Roman"/>
          <w:sz w:val="20"/>
          <w:szCs w:val="20"/>
          <w:lang w:val="en-US"/>
        </w:rPr>
        <w:t xml:space="preserve">it </w:t>
      </w:r>
      <w:r w:rsidR="00347CE8" w:rsidRPr="0035095E">
        <w:rPr>
          <w:rFonts w:ascii="Times New Roman" w:eastAsia="Times New Roman" w:hAnsi="Times New Roman" w:cs="Times New Roman"/>
          <w:sz w:val="20"/>
          <w:szCs w:val="20"/>
          <w:lang w:val="en-US"/>
        </w:rPr>
        <w:t>also pale</w:t>
      </w:r>
      <w:r w:rsidR="00E412B7" w:rsidRPr="0035095E">
        <w:rPr>
          <w:rFonts w:ascii="Times New Roman" w:eastAsia="Times New Roman" w:hAnsi="Times New Roman" w:cs="Times New Roman"/>
          <w:sz w:val="20"/>
          <w:szCs w:val="20"/>
          <w:lang w:val="en-US"/>
        </w:rPr>
        <w:t>s</w:t>
      </w:r>
      <w:r w:rsidR="00347CE8" w:rsidRPr="0035095E">
        <w:rPr>
          <w:rFonts w:ascii="Times New Roman" w:eastAsia="Times New Roman" w:hAnsi="Times New Roman" w:cs="Times New Roman"/>
          <w:sz w:val="20"/>
          <w:szCs w:val="20"/>
          <w:lang w:val="en-US"/>
        </w:rPr>
        <w:t xml:space="preserve"> in comparison to the depth of research on financial literacy</w:t>
      </w:r>
      <w:r w:rsidRPr="0035095E">
        <w:rPr>
          <w:rFonts w:ascii="Times New Roman" w:eastAsia="Times New Roman" w:hAnsi="Times New Roman" w:cs="Times New Roman"/>
          <w:sz w:val="20"/>
          <w:szCs w:val="20"/>
          <w:lang w:val="en-US"/>
        </w:rPr>
        <w:t xml:space="preserve">. </w:t>
      </w:r>
      <w:r w:rsidR="00F90F8D" w:rsidRPr="0035095E">
        <w:rPr>
          <w:rFonts w:ascii="Times New Roman" w:eastAsia="Times New Roman" w:hAnsi="Times New Roman" w:cs="Times New Roman"/>
          <w:sz w:val="20"/>
          <w:szCs w:val="20"/>
          <w:lang w:val="en-US"/>
        </w:rPr>
        <w:t xml:space="preserve">Currently research on </w:t>
      </w:r>
      <w:r w:rsidR="00DA7F43" w:rsidRPr="0035095E">
        <w:rPr>
          <w:rFonts w:ascii="Times New Roman" w:eastAsia="Times New Roman" w:hAnsi="Times New Roman" w:cs="Times New Roman"/>
          <w:sz w:val="20"/>
          <w:szCs w:val="20"/>
          <w:lang w:val="en-US"/>
        </w:rPr>
        <w:t xml:space="preserve">tax literacy </w:t>
      </w:r>
      <w:r w:rsidR="00F90F8D" w:rsidRPr="0035095E">
        <w:rPr>
          <w:rFonts w:ascii="Times New Roman" w:eastAsia="Times New Roman" w:hAnsi="Times New Roman" w:cs="Times New Roman"/>
          <w:sz w:val="20"/>
          <w:szCs w:val="20"/>
          <w:lang w:val="en-US"/>
        </w:rPr>
        <w:t>is mostly on the level of tax literacy and most of the</w:t>
      </w:r>
      <w:r w:rsidR="00565BA2" w:rsidRPr="0035095E">
        <w:rPr>
          <w:rFonts w:ascii="Times New Roman" w:eastAsia="Times New Roman" w:hAnsi="Times New Roman" w:cs="Times New Roman"/>
          <w:sz w:val="20"/>
          <w:szCs w:val="20"/>
          <w:lang w:val="en-US"/>
        </w:rPr>
        <w:t xml:space="preserve"> studies</w:t>
      </w:r>
      <w:r w:rsidR="00F90F8D" w:rsidRPr="0035095E">
        <w:rPr>
          <w:rFonts w:ascii="Times New Roman" w:eastAsia="Times New Roman" w:hAnsi="Times New Roman" w:cs="Times New Roman"/>
          <w:sz w:val="20"/>
          <w:szCs w:val="20"/>
          <w:lang w:val="en-US"/>
        </w:rPr>
        <w:t xml:space="preserve"> are conducted in </w:t>
      </w:r>
      <w:r w:rsidR="00DA7F43" w:rsidRPr="0035095E">
        <w:rPr>
          <w:rFonts w:ascii="Times New Roman" w:eastAsia="Times New Roman" w:hAnsi="Times New Roman" w:cs="Times New Roman"/>
          <w:sz w:val="20"/>
          <w:szCs w:val="20"/>
          <w:lang w:val="en-US"/>
        </w:rPr>
        <w:t>countries</w:t>
      </w:r>
      <w:r w:rsidR="007C0536" w:rsidRPr="0035095E">
        <w:rPr>
          <w:rFonts w:ascii="Times New Roman" w:eastAsia="Times New Roman" w:hAnsi="Times New Roman" w:cs="Times New Roman"/>
          <w:sz w:val="20"/>
          <w:szCs w:val="20"/>
          <w:lang w:val="en-US"/>
        </w:rPr>
        <w:t xml:space="preserve"> </w:t>
      </w:r>
      <w:r w:rsidR="00565BA2" w:rsidRPr="0035095E">
        <w:rPr>
          <w:rFonts w:ascii="Times New Roman" w:eastAsia="Times New Roman" w:hAnsi="Times New Roman" w:cs="Times New Roman"/>
          <w:sz w:val="20"/>
          <w:szCs w:val="20"/>
          <w:lang w:val="en-US"/>
        </w:rPr>
        <w:t xml:space="preserve">outside of the US </w:t>
      </w:r>
      <w:r w:rsidR="007C0536" w:rsidRPr="0035095E">
        <w:rPr>
          <w:rFonts w:ascii="Times New Roman" w:eastAsia="Times New Roman" w:hAnsi="Times New Roman" w:cs="Times New Roman"/>
          <w:sz w:val="20"/>
          <w:szCs w:val="20"/>
          <w:lang w:val="en-US"/>
        </w:rPr>
        <w:t xml:space="preserve">(Latiff et al., 2005; Bhushan and </w:t>
      </w:r>
      <w:proofErr w:type="spellStart"/>
      <w:r w:rsidR="007C0536" w:rsidRPr="0035095E">
        <w:rPr>
          <w:rFonts w:ascii="Times New Roman" w:eastAsia="Times New Roman" w:hAnsi="Times New Roman" w:cs="Times New Roman"/>
          <w:sz w:val="20"/>
          <w:szCs w:val="20"/>
          <w:lang w:val="en-US"/>
        </w:rPr>
        <w:t>Medury</w:t>
      </w:r>
      <w:proofErr w:type="spellEnd"/>
      <w:r w:rsidR="007C0536" w:rsidRPr="0035095E">
        <w:rPr>
          <w:rFonts w:ascii="Times New Roman" w:eastAsia="Times New Roman" w:hAnsi="Times New Roman" w:cs="Times New Roman"/>
          <w:sz w:val="20"/>
          <w:szCs w:val="20"/>
          <w:lang w:val="en-US"/>
        </w:rPr>
        <w:t xml:space="preserve">, 2013; </w:t>
      </w:r>
      <w:proofErr w:type="spellStart"/>
      <w:r w:rsidR="007C0536" w:rsidRPr="0035095E">
        <w:rPr>
          <w:rFonts w:ascii="Times New Roman" w:eastAsia="Times New Roman" w:hAnsi="Times New Roman" w:cs="Times New Roman"/>
          <w:sz w:val="20"/>
          <w:szCs w:val="20"/>
          <w:lang w:val="en-US"/>
        </w:rPr>
        <w:t>Pasekova</w:t>
      </w:r>
      <w:proofErr w:type="spellEnd"/>
      <w:r w:rsidR="007C0536" w:rsidRPr="0035095E">
        <w:rPr>
          <w:rFonts w:ascii="Times New Roman" w:eastAsia="Times New Roman" w:hAnsi="Times New Roman" w:cs="Times New Roman"/>
          <w:sz w:val="20"/>
          <w:szCs w:val="20"/>
          <w:lang w:val="en-US"/>
        </w:rPr>
        <w:t xml:space="preserve"> and Kovarik, 2013; Nichita, 2015, Chardon et al., 2016; </w:t>
      </w:r>
      <w:proofErr w:type="spellStart"/>
      <w:r w:rsidR="002B2E3A" w:rsidRPr="0035095E">
        <w:rPr>
          <w:rFonts w:ascii="Times New Roman" w:eastAsia="Times New Roman" w:hAnsi="Times New Roman" w:cs="Times New Roman"/>
          <w:sz w:val="20"/>
          <w:szCs w:val="20"/>
          <w:lang w:val="en-US"/>
        </w:rPr>
        <w:t>Arslam</w:t>
      </w:r>
      <w:proofErr w:type="spellEnd"/>
      <w:r w:rsidR="002B2E3A" w:rsidRPr="0035095E">
        <w:rPr>
          <w:rFonts w:ascii="Times New Roman" w:eastAsia="Times New Roman" w:hAnsi="Times New Roman" w:cs="Times New Roman"/>
          <w:sz w:val="20"/>
          <w:szCs w:val="20"/>
          <w:lang w:val="en-US"/>
        </w:rPr>
        <w:t xml:space="preserve">, 2016; </w:t>
      </w:r>
      <w:proofErr w:type="spellStart"/>
      <w:r w:rsidR="002B2E3A" w:rsidRPr="0035095E">
        <w:rPr>
          <w:rFonts w:ascii="Times New Roman" w:eastAsia="Times New Roman" w:hAnsi="Times New Roman" w:cs="Times New Roman"/>
          <w:sz w:val="20"/>
          <w:szCs w:val="20"/>
          <w:lang w:val="en-US"/>
        </w:rPr>
        <w:t>Pratama</w:t>
      </w:r>
      <w:proofErr w:type="spellEnd"/>
      <w:r w:rsidR="002B2E3A" w:rsidRPr="0035095E">
        <w:rPr>
          <w:rFonts w:ascii="Times New Roman" w:eastAsia="Times New Roman" w:hAnsi="Times New Roman" w:cs="Times New Roman"/>
          <w:sz w:val="20"/>
          <w:szCs w:val="20"/>
          <w:lang w:val="en-US"/>
        </w:rPr>
        <w:t xml:space="preserve">, 2017; </w:t>
      </w:r>
      <w:proofErr w:type="spellStart"/>
      <w:r w:rsidR="007C0536" w:rsidRPr="0035095E">
        <w:rPr>
          <w:rFonts w:ascii="Times New Roman" w:eastAsia="Times New Roman" w:hAnsi="Times New Roman" w:cs="Times New Roman"/>
          <w:sz w:val="20"/>
          <w:szCs w:val="20"/>
          <w:lang w:val="en-US"/>
        </w:rPr>
        <w:t>Mouckova</w:t>
      </w:r>
      <w:proofErr w:type="spellEnd"/>
      <w:r w:rsidR="007C0536" w:rsidRPr="0035095E">
        <w:rPr>
          <w:rFonts w:ascii="Times New Roman" w:eastAsia="Times New Roman" w:hAnsi="Times New Roman" w:cs="Times New Roman"/>
          <w:sz w:val="20"/>
          <w:szCs w:val="20"/>
          <w:lang w:val="en-US"/>
        </w:rPr>
        <w:t xml:space="preserve"> and </w:t>
      </w:r>
      <w:proofErr w:type="spellStart"/>
      <w:r w:rsidR="007C0536" w:rsidRPr="0035095E">
        <w:rPr>
          <w:rFonts w:ascii="Times New Roman" w:eastAsia="Times New Roman" w:hAnsi="Times New Roman" w:cs="Times New Roman"/>
          <w:sz w:val="20"/>
          <w:szCs w:val="20"/>
          <w:lang w:val="en-US"/>
        </w:rPr>
        <w:t>Vitek</w:t>
      </w:r>
      <w:proofErr w:type="spellEnd"/>
      <w:r w:rsidR="007C0536" w:rsidRPr="0035095E">
        <w:rPr>
          <w:rFonts w:ascii="Times New Roman" w:eastAsia="Times New Roman" w:hAnsi="Times New Roman" w:cs="Times New Roman"/>
          <w:sz w:val="20"/>
          <w:szCs w:val="20"/>
          <w:lang w:val="en-US"/>
        </w:rPr>
        <w:t xml:space="preserve">, 2018; </w:t>
      </w:r>
      <w:proofErr w:type="spellStart"/>
      <w:r w:rsidR="007C0536" w:rsidRPr="0035095E">
        <w:rPr>
          <w:rFonts w:ascii="Times New Roman" w:eastAsia="Times New Roman" w:hAnsi="Times New Roman" w:cs="Times New Roman"/>
          <w:sz w:val="20"/>
          <w:szCs w:val="20"/>
          <w:lang w:val="en-US"/>
        </w:rPr>
        <w:t>Cecovsky</w:t>
      </w:r>
      <w:proofErr w:type="spellEnd"/>
      <w:r w:rsidR="007C0536" w:rsidRPr="0035095E">
        <w:rPr>
          <w:rFonts w:ascii="Times New Roman" w:eastAsia="Times New Roman" w:hAnsi="Times New Roman" w:cs="Times New Roman"/>
          <w:sz w:val="20"/>
          <w:szCs w:val="20"/>
          <w:lang w:val="en-US"/>
        </w:rPr>
        <w:t xml:space="preserve">, 2018). Many of these studies document that their survey respondents </w:t>
      </w:r>
      <w:proofErr w:type="gramStart"/>
      <w:r w:rsidR="007C0536" w:rsidRPr="0035095E">
        <w:rPr>
          <w:rFonts w:ascii="Times New Roman" w:eastAsia="Times New Roman" w:hAnsi="Times New Roman" w:cs="Times New Roman"/>
          <w:sz w:val="20"/>
          <w:szCs w:val="20"/>
          <w:lang w:val="en-US"/>
        </w:rPr>
        <w:t>are able to</w:t>
      </w:r>
      <w:proofErr w:type="gramEnd"/>
      <w:r w:rsidR="007C0536" w:rsidRPr="0035095E">
        <w:rPr>
          <w:rFonts w:ascii="Times New Roman" w:eastAsia="Times New Roman" w:hAnsi="Times New Roman" w:cs="Times New Roman"/>
          <w:sz w:val="20"/>
          <w:szCs w:val="20"/>
          <w:lang w:val="en-US"/>
        </w:rPr>
        <w:t xml:space="preserve"> correctly answer around 40%–50% of the tax questions (</w:t>
      </w:r>
      <w:r w:rsidR="004268CD" w:rsidRPr="0035095E">
        <w:rPr>
          <w:rStyle w:val="standard-view-style"/>
          <w:rFonts w:ascii="Times New Roman" w:hAnsi="Times New Roman" w:cs="Times New Roman"/>
          <w:sz w:val="20"/>
          <w:szCs w:val="20"/>
          <w:lang w:val="en-US"/>
        </w:rPr>
        <w:t>Chardon, Freudenberg, Brimble, 2016</w:t>
      </w:r>
      <w:r w:rsidR="007C0536" w:rsidRPr="0035095E">
        <w:rPr>
          <w:rFonts w:ascii="Times New Roman" w:eastAsia="Times New Roman" w:hAnsi="Times New Roman" w:cs="Times New Roman"/>
          <w:sz w:val="20"/>
          <w:szCs w:val="20"/>
          <w:lang w:val="en-US"/>
        </w:rPr>
        <w:t xml:space="preserve">; Latiff et al., 2005; Nichita et al., 2019). </w:t>
      </w:r>
      <w:r w:rsidR="00E412B7" w:rsidRPr="0035095E">
        <w:rPr>
          <w:rFonts w:ascii="Times New Roman" w:eastAsia="Times New Roman" w:hAnsi="Times New Roman" w:cs="Times New Roman"/>
          <w:sz w:val="20"/>
          <w:szCs w:val="20"/>
          <w:lang w:val="en-US"/>
        </w:rPr>
        <w:t xml:space="preserve">In </w:t>
      </w:r>
      <w:r w:rsidR="002B2E3A" w:rsidRPr="0035095E">
        <w:rPr>
          <w:rFonts w:ascii="Times New Roman" w:eastAsia="Times New Roman" w:hAnsi="Times New Roman" w:cs="Times New Roman"/>
          <w:sz w:val="20"/>
          <w:szCs w:val="20"/>
          <w:lang w:val="en-US"/>
        </w:rPr>
        <w:t xml:space="preserve">the only </w:t>
      </w:r>
      <w:r w:rsidR="00CC2726" w:rsidRPr="0035095E">
        <w:rPr>
          <w:rFonts w:ascii="Times New Roman" w:eastAsia="Times New Roman" w:hAnsi="Times New Roman" w:cs="Times New Roman"/>
          <w:sz w:val="20"/>
          <w:szCs w:val="20"/>
          <w:lang w:val="en-US"/>
        </w:rPr>
        <w:t>US study</w:t>
      </w:r>
      <w:r w:rsidR="002B2E3A" w:rsidRPr="0035095E">
        <w:rPr>
          <w:rFonts w:ascii="Times New Roman" w:eastAsia="Times New Roman" w:hAnsi="Times New Roman" w:cs="Times New Roman"/>
          <w:sz w:val="20"/>
          <w:szCs w:val="20"/>
          <w:lang w:val="en-US"/>
        </w:rPr>
        <w:t xml:space="preserve"> on tax literacy to our knowledge</w:t>
      </w:r>
      <w:r w:rsidR="007E7317" w:rsidRPr="0035095E">
        <w:rPr>
          <w:rFonts w:ascii="Times New Roman" w:eastAsia="Times New Roman" w:hAnsi="Times New Roman" w:cs="Times New Roman"/>
          <w:sz w:val="20"/>
          <w:szCs w:val="20"/>
          <w:lang w:val="en-US"/>
        </w:rPr>
        <w:t xml:space="preserve">, </w:t>
      </w:r>
      <w:r w:rsidR="00C46D71" w:rsidRPr="0035095E">
        <w:rPr>
          <w:rFonts w:ascii="Times New Roman" w:eastAsia="Times New Roman" w:hAnsi="Times New Roman" w:cs="Times New Roman"/>
          <w:sz w:val="20"/>
          <w:szCs w:val="20"/>
          <w:lang w:val="en-US"/>
        </w:rPr>
        <w:t>Lyon and Caitlin (2020) survey</w:t>
      </w:r>
      <w:r w:rsidR="00057803" w:rsidRPr="0035095E">
        <w:rPr>
          <w:rFonts w:ascii="Times New Roman" w:eastAsia="Times New Roman" w:hAnsi="Times New Roman" w:cs="Times New Roman"/>
          <w:sz w:val="20"/>
          <w:szCs w:val="20"/>
          <w:lang w:val="en-US"/>
        </w:rPr>
        <w:t>ed</w:t>
      </w:r>
      <w:r w:rsidR="00C46D71" w:rsidRPr="0035095E">
        <w:rPr>
          <w:rFonts w:ascii="Times New Roman" w:eastAsia="Times New Roman" w:hAnsi="Times New Roman" w:cs="Times New Roman"/>
          <w:sz w:val="20"/>
          <w:szCs w:val="20"/>
          <w:lang w:val="en-US"/>
        </w:rPr>
        <w:t xml:space="preserve"> </w:t>
      </w:r>
      <w:r w:rsidR="00CA2CF8" w:rsidRPr="0035095E">
        <w:rPr>
          <w:rFonts w:ascii="Times New Roman" w:eastAsia="Times New Roman" w:hAnsi="Times New Roman" w:cs="Times New Roman"/>
          <w:sz w:val="20"/>
          <w:szCs w:val="20"/>
          <w:lang w:val="en-US"/>
        </w:rPr>
        <w:t xml:space="preserve">adults </w:t>
      </w:r>
      <w:r w:rsidR="00C46D71" w:rsidRPr="0035095E">
        <w:rPr>
          <w:rFonts w:ascii="Times New Roman" w:eastAsia="Times New Roman" w:hAnsi="Times New Roman" w:cs="Times New Roman"/>
          <w:sz w:val="20"/>
          <w:szCs w:val="20"/>
          <w:lang w:val="en-US"/>
        </w:rPr>
        <w:t xml:space="preserve">and </w:t>
      </w:r>
      <w:r w:rsidR="00057803" w:rsidRPr="0035095E">
        <w:rPr>
          <w:rFonts w:ascii="Times New Roman" w:eastAsia="Times New Roman" w:hAnsi="Times New Roman" w:cs="Times New Roman"/>
          <w:sz w:val="20"/>
          <w:szCs w:val="20"/>
          <w:lang w:val="en-US"/>
        </w:rPr>
        <w:t xml:space="preserve">found </w:t>
      </w:r>
      <w:r w:rsidR="00C46D71" w:rsidRPr="0035095E">
        <w:rPr>
          <w:rFonts w:ascii="Times New Roman" w:eastAsia="Times New Roman" w:hAnsi="Times New Roman" w:cs="Times New Roman"/>
          <w:sz w:val="20"/>
          <w:szCs w:val="20"/>
          <w:lang w:val="en-US"/>
        </w:rPr>
        <w:lastRenderedPageBreak/>
        <w:t xml:space="preserve">that </w:t>
      </w:r>
      <w:proofErr w:type="gramStart"/>
      <w:r w:rsidR="00C46D71" w:rsidRPr="0035095E">
        <w:rPr>
          <w:rFonts w:ascii="Times New Roman" w:eastAsia="Times New Roman" w:hAnsi="Times New Roman" w:cs="Times New Roman"/>
          <w:sz w:val="20"/>
          <w:szCs w:val="20"/>
          <w:lang w:val="en-US"/>
        </w:rPr>
        <w:t>the majority</w:t>
      </w:r>
      <w:r w:rsidR="00CA2CF8" w:rsidRPr="0035095E">
        <w:rPr>
          <w:rFonts w:ascii="Times New Roman" w:eastAsia="Times New Roman" w:hAnsi="Times New Roman" w:cs="Times New Roman"/>
          <w:sz w:val="20"/>
          <w:szCs w:val="20"/>
          <w:lang w:val="en-US"/>
        </w:rPr>
        <w:t xml:space="preserve"> of</w:t>
      </w:r>
      <w:proofErr w:type="gramEnd"/>
      <w:r w:rsidR="00CA2CF8" w:rsidRPr="0035095E">
        <w:rPr>
          <w:rFonts w:ascii="Times New Roman" w:eastAsia="Times New Roman" w:hAnsi="Times New Roman" w:cs="Times New Roman"/>
          <w:sz w:val="20"/>
          <w:szCs w:val="20"/>
          <w:lang w:val="en-US"/>
        </w:rPr>
        <w:t xml:space="preserve"> US taxpayers </w:t>
      </w:r>
      <w:r w:rsidR="00E412B7" w:rsidRPr="0035095E">
        <w:rPr>
          <w:rFonts w:ascii="Times New Roman" w:eastAsia="Times New Roman" w:hAnsi="Times New Roman" w:cs="Times New Roman"/>
          <w:sz w:val="20"/>
          <w:szCs w:val="20"/>
          <w:lang w:val="en-US"/>
        </w:rPr>
        <w:t>can</w:t>
      </w:r>
      <w:r w:rsidR="004C151F" w:rsidRPr="0035095E">
        <w:rPr>
          <w:rFonts w:ascii="Times New Roman" w:eastAsia="Times New Roman" w:hAnsi="Times New Roman" w:cs="Times New Roman"/>
          <w:sz w:val="20"/>
          <w:szCs w:val="20"/>
          <w:lang w:val="en-US"/>
        </w:rPr>
        <w:t xml:space="preserve">not </w:t>
      </w:r>
      <w:r w:rsidR="00CA2CF8" w:rsidRPr="0035095E">
        <w:rPr>
          <w:rFonts w:ascii="Times New Roman" w:eastAsia="Times New Roman" w:hAnsi="Times New Roman" w:cs="Times New Roman"/>
          <w:sz w:val="20"/>
          <w:szCs w:val="20"/>
          <w:lang w:val="en-US"/>
        </w:rPr>
        <w:t>answer half of the tax survey questions correctly</w:t>
      </w:r>
      <w:r w:rsidR="00403927" w:rsidRPr="0035095E">
        <w:rPr>
          <w:rFonts w:ascii="Times New Roman" w:eastAsia="Times New Roman" w:hAnsi="Times New Roman" w:cs="Times New Roman"/>
          <w:sz w:val="20"/>
          <w:szCs w:val="20"/>
          <w:lang w:val="en-US"/>
        </w:rPr>
        <w:t xml:space="preserve">. </w:t>
      </w:r>
      <w:r w:rsidR="007B28AF" w:rsidRPr="0035095E">
        <w:rPr>
          <w:rFonts w:ascii="Times New Roman" w:eastAsia="Times New Roman" w:hAnsi="Times New Roman" w:cs="Times New Roman"/>
          <w:sz w:val="20"/>
          <w:szCs w:val="20"/>
          <w:lang w:val="en-US"/>
        </w:rPr>
        <w:t>Th</w:t>
      </w:r>
      <w:r w:rsidR="00057803" w:rsidRPr="0035095E">
        <w:rPr>
          <w:rFonts w:ascii="Times New Roman" w:eastAsia="Times New Roman" w:hAnsi="Times New Roman" w:cs="Times New Roman"/>
          <w:sz w:val="20"/>
          <w:szCs w:val="20"/>
          <w:lang w:val="en-US"/>
        </w:rPr>
        <w:t>eir</w:t>
      </w:r>
      <w:r w:rsidR="00713920" w:rsidRPr="0035095E">
        <w:rPr>
          <w:rFonts w:ascii="Times New Roman" w:eastAsia="Times New Roman" w:hAnsi="Times New Roman" w:cs="Times New Roman"/>
          <w:sz w:val="20"/>
          <w:szCs w:val="20"/>
          <w:lang w:val="en-US"/>
        </w:rPr>
        <w:t xml:space="preserve"> </w:t>
      </w:r>
      <w:r w:rsidR="00057803" w:rsidRPr="0035095E">
        <w:rPr>
          <w:rFonts w:ascii="Times New Roman" w:eastAsia="Times New Roman" w:hAnsi="Times New Roman" w:cs="Times New Roman"/>
          <w:sz w:val="20"/>
          <w:szCs w:val="20"/>
          <w:lang w:val="en-US"/>
        </w:rPr>
        <w:t xml:space="preserve">survey </w:t>
      </w:r>
      <w:r w:rsidR="00713920" w:rsidRPr="0035095E">
        <w:rPr>
          <w:rFonts w:ascii="Times New Roman" w:eastAsia="Times New Roman" w:hAnsi="Times New Roman" w:cs="Times New Roman"/>
          <w:sz w:val="20"/>
          <w:szCs w:val="20"/>
          <w:lang w:val="en-US"/>
        </w:rPr>
        <w:t>report</w:t>
      </w:r>
      <w:r w:rsidR="00403927" w:rsidRPr="0035095E">
        <w:rPr>
          <w:rFonts w:ascii="Times New Roman" w:eastAsia="Times New Roman" w:hAnsi="Times New Roman" w:cs="Times New Roman"/>
          <w:sz w:val="20"/>
          <w:szCs w:val="20"/>
          <w:lang w:val="en-US"/>
        </w:rPr>
        <w:t xml:space="preserve"> also suggest</w:t>
      </w:r>
      <w:r w:rsidR="00713920" w:rsidRPr="0035095E">
        <w:rPr>
          <w:rFonts w:ascii="Times New Roman" w:eastAsia="Times New Roman" w:hAnsi="Times New Roman" w:cs="Times New Roman"/>
          <w:sz w:val="20"/>
          <w:szCs w:val="20"/>
          <w:lang w:val="en-US"/>
        </w:rPr>
        <w:t>s</w:t>
      </w:r>
      <w:r w:rsidR="00403927" w:rsidRPr="0035095E">
        <w:rPr>
          <w:rFonts w:ascii="Times New Roman" w:eastAsia="Times New Roman" w:hAnsi="Times New Roman" w:cs="Times New Roman"/>
          <w:sz w:val="20"/>
          <w:szCs w:val="20"/>
          <w:lang w:val="en-US"/>
        </w:rPr>
        <w:t xml:space="preserve"> </w:t>
      </w:r>
      <w:r w:rsidR="002C5BD7" w:rsidRPr="0035095E">
        <w:rPr>
          <w:rFonts w:ascii="Times New Roman" w:eastAsia="Times New Roman" w:hAnsi="Times New Roman" w:cs="Times New Roman"/>
          <w:sz w:val="20"/>
          <w:szCs w:val="20"/>
          <w:lang w:val="en-US"/>
        </w:rPr>
        <w:t xml:space="preserve">that taxpayers have </w:t>
      </w:r>
      <w:r w:rsidR="00C46D71" w:rsidRPr="0035095E">
        <w:rPr>
          <w:rFonts w:ascii="Times New Roman" w:eastAsia="Times New Roman" w:hAnsi="Times New Roman" w:cs="Times New Roman"/>
          <w:sz w:val="20"/>
          <w:szCs w:val="20"/>
          <w:lang w:val="en-US"/>
        </w:rPr>
        <w:t xml:space="preserve">misconceptions </w:t>
      </w:r>
      <w:r w:rsidR="002C5BD7" w:rsidRPr="0035095E">
        <w:rPr>
          <w:rFonts w:ascii="Times New Roman" w:eastAsia="Times New Roman" w:hAnsi="Times New Roman" w:cs="Times New Roman"/>
          <w:sz w:val="20"/>
          <w:szCs w:val="20"/>
          <w:lang w:val="en-US"/>
        </w:rPr>
        <w:t xml:space="preserve">regarding </w:t>
      </w:r>
      <w:r w:rsidR="00CA2CF8" w:rsidRPr="0035095E">
        <w:rPr>
          <w:rFonts w:ascii="Times New Roman" w:eastAsia="Times New Roman" w:hAnsi="Times New Roman" w:cs="Times New Roman"/>
          <w:sz w:val="20"/>
          <w:szCs w:val="20"/>
          <w:lang w:val="en-US"/>
        </w:rPr>
        <w:t xml:space="preserve">basic </w:t>
      </w:r>
      <w:r w:rsidR="00C46D71" w:rsidRPr="0035095E">
        <w:rPr>
          <w:rFonts w:ascii="Times New Roman" w:eastAsia="Times New Roman" w:hAnsi="Times New Roman" w:cs="Times New Roman"/>
          <w:sz w:val="20"/>
          <w:szCs w:val="20"/>
          <w:lang w:val="en-US"/>
        </w:rPr>
        <w:t xml:space="preserve">tax </w:t>
      </w:r>
      <w:r w:rsidR="00CA2CF8" w:rsidRPr="0035095E">
        <w:rPr>
          <w:rFonts w:ascii="Times New Roman" w:eastAsia="Times New Roman" w:hAnsi="Times New Roman" w:cs="Times New Roman"/>
          <w:sz w:val="20"/>
          <w:szCs w:val="20"/>
          <w:lang w:val="en-US"/>
        </w:rPr>
        <w:t>rules</w:t>
      </w:r>
      <w:r w:rsidR="002C5BD7" w:rsidRPr="0035095E">
        <w:rPr>
          <w:rFonts w:ascii="Times New Roman" w:eastAsia="Times New Roman" w:hAnsi="Times New Roman" w:cs="Times New Roman"/>
          <w:sz w:val="20"/>
          <w:szCs w:val="20"/>
          <w:lang w:val="en-US"/>
        </w:rPr>
        <w:t>,</w:t>
      </w:r>
      <w:r w:rsidR="00C46D71" w:rsidRPr="0035095E">
        <w:rPr>
          <w:rFonts w:ascii="Times New Roman" w:eastAsia="Times New Roman" w:hAnsi="Times New Roman" w:cs="Times New Roman"/>
          <w:sz w:val="20"/>
          <w:szCs w:val="20"/>
          <w:lang w:val="en-US"/>
        </w:rPr>
        <w:t xml:space="preserve"> such as</w:t>
      </w:r>
      <w:r w:rsidR="00CA2CF8" w:rsidRPr="0035095E">
        <w:rPr>
          <w:rFonts w:ascii="Times New Roman" w:eastAsia="Times New Roman" w:hAnsi="Times New Roman" w:cs="Times New Roman"/>
          <w:sz w:val="20"/>
          <w:szCs w:val="20"/>
          <w:lang w:val="en-US"/>
        </w:rPr>
        <w:t xml:space="preserve"> progressive tax rates, charitable contribution deductions, </w:t>
      </w:r>
      <w:r w:rsidR="00347CE8" w:rsidRPr="0035095E">
        <w:rPr>
          <w:rFonts w:ascii="Times New Roman" w:eastAsia="Times New Roman" w:hAnsi="Times New Roman" w:cs="Times New Roman"/>
          <w:sz w:val="20"/>
          <w:szCs w:val="20"/>
          <w:lang w:val="en-US"/>
        </w:rPr>
        <w:t>and</w:t>
      </w:r>
      <w:r w:rsidR="00CA2CF8" w:rsidRPr="0035095E">
        <w:rPr>
          <w:rFonts w:ascii="Times New Roman" w:eastAsia="Times New Roman" w:hAnsi="Times New Roman" w:cs="Times New Roman"/>
          <w:sz w:val="20"/>
          <w:szCs w:val="20"/>
          <w:lang w:val="en-US"/>
        </w:rPr>
        <w:t xml:space="preserve"> self-employment taxes. </w:t>
      </w:r>
      <w:r w:rsidR="00C46D71" w:rsidRPr="0035095E">
        <w:rPr>
          <w:rFonts w:ascii="Times New Roman" w:eastAsia="Times New Roman" w:hAnsi="Times New Roman" w:cs="Times New Roman"/>
          <w:sz w:val="20"/>
          <w:szCs w:val="20"/>
          <w:lang w:val="en-US"/>
        </w:rPr>
        <w:t xml:space="preserve">Feldman et al. (2016) </w:t>
      </w:r>
      <w:r w:rsidR="002C5BD7" w:rsidRPr="0035095E">
        <w:rPr>
          <w:rFonts w:ascii="Times New Roman" w:eastAsia="Times New Roman" w:hAnsi="Times New Roman" w:cs="Times New Roman"/>
          <w:sz w:val="20"/>
          <w:szCs w:val="20"/>
          <w:lang w:val="en-US"/>
        </w:rPr>
        <w:t>f</w:t>
      </w:r>
      <w:r w:rsidR="001D1134" w:rsidRPr="0035095E">
        <w:rPr>
          <w:rFonts w:ascii="Times New Roman" w:eastAsia="Times New Roman" w:hAnsi="Times New Roman" w:cs="Times New Roman"/>
          <w:sz w:val="20"/>
          <w:szCs w:val="20"/>
          <w:lang w:val="en-US"/>
        </w:rPr>
        <w:t>in</w:t>
      </w:r>
      <w:r w:rsidR="002C5BD7" w:rsidRPr="0035095E">
        <w:rPr>
          <w:rFonts w:ascii="Times New Roman" w:eastAsia="Times New Roman" w:hAnsi="Times New Roman" w:cs="Times New Roman"/>
          <w:sz w:val="20"/>
          <w:szCs w:val="20"/>
          <w:lang w:val="en-US"/>
        </w:rPr>
        <w:t xml:space="preserve">d </w:t>
      </w:r>
      <w:r w:rsidR="00C46D71" w:rsidRPr="0035095E">
        <w:rPr>
          <w:rFonts w:ascii="Times New Roman" w:eastAsia="Times New Roman" w:hAnsi="Times New Roman" w:cs="Times New Roman"/>
          <w:sz w:val="20"/>
          <w:szCs w:val="20"/>
          <w:lang w:val="en-US"/>
        </w:rPr>
        <w:t xml:space="preserve">that US taxpayers </w:t>
      </w:r>
      <w:r w:rsidR="001C01D4" w:rsidRPr="0035095E">
        <w:rPr>
          <w:rFonts w:ascii="Times New Roman" w:eastAsia="Times New Roman" w:hAnsi="Times New Roman" w:cs="Times New Roman"/>
          <w:sz w:val="20"/>
          <w:szCs w:val="20"/>
          <w:lang w:val="en-US"/>
        </w:rPr>
        <w:t xml:space="preserve">misunderstand </w:t>
      </w:r>
      <w:r w:rsidR="00C46D71" w:rsidRPr="0035095E">
        <w:rPr>
          <w:rFonts w:ascii="Times New Roman" w:eastAsia="Times New Roman" w:hAnsi="Times New Roman" w:cs="Times New Roman"/>
          <w:sz w:val="20"/>
          <w:szCs w:val="20"/>
          <w:lang w:val="en-US"/>
        </w:rPr>
        <w:t>the effect of tax credit</w:t>
      </w:r>
      <w:r w:rsidR="0008639C" w:rsidRPr="0035095E">
        <w:rPr>
          <w:rFonts w:ascii="Times New Roman" w:eastAsia="Times New Roman" w:hAnsi="Times New Roman" w:cs="Times New Roman"/>
          <w:sz w:val="20"/>
          <w:szCs w:val="20"/>
          <w:lang w:val="en-US"/>
        </w:rPr>
        <w:t>s</w:t>
      </w:r>
      <w:r w:rsidR="00C46D71" w:rsidRPr="0035095E">
        <w:rPr>
          <w:rFonts w:ascii="Times New Roman" w:eastAsia="Times New Roman" w:hAnsi="Times New Roman" w:cs="Times New Roman"/>
          <w:sz w:val="20"/>
          <w:szCs w:val="20"/>
          <w:lang w:val="en-US"/>
        </w:rPr>
        <w:t xml:space="preserve"> on their marginal tax rate</w:t>
      </w:r>
      <w:r w:rsidR="00347CE8" w:rsidRPr="0035095E">
        <w:rPr>
          <w:rFonts w:ascii="Times New Roman" w:eastAsia="Times New Roman" w:hAnsi="Times New Roman" w:cs="Times New Roman"/>
          <w:sz w:val="20"/>
          <w:szCs w:val="20"/>
          <w:lang w:val="en-US"/>
        </w:rPr>
        <w:t>s</w:t>
      </w:r>
      <w:r w:rsidR="00C46D71" w:rsidRPr="0035095E">
        <w:rPr>
          <w:rFonts w:ascii="Times New Roman" w:eastAsia="Times New Roman" w:hAnsi="Times New Roman" w:cs="Times New Roman"/>
          <w:sz w:val="20"/>
          <w:szCs w:val="20"/>
          <w:lang w:val="en-US"/>
        </w:rPr>
        <w:t xml:space="preserve"> and underreport their taxable income after their dependent children </w:t>
      </w:r>
      <w:r w:rsidR="004D798C" w:rsidRPr="0035095E">
        <w:rPr>
          <w:rFonts w:ascii="Times New Roman" w:eastAsia="Times New Roman" w:hAnsi="Times New Roman" w:cs="Times New Roman"/>
          <w:sz w:val="20"/>
          <w:szCs w:val="20"/>
          <w:lang w:val="en-US"/>
        </w:rPr>
        <w:t>are</w:t>
      </w:r>
      <w:r w:rsidR="001C01D4" w:rsidRPr="0035095E">
        <w:rPr>
          <w:rFonts w:ascii="Times New Roman" w:eastAsia="Times New Roman" w:hAnsi="Times New Roman" w:cs="Times New Roman"/>
          <w:sz w:val="20"/>
          <w:szCs w:val="20"/>
          <w:lang w:val="en-US"/>
        </w:rPr>
        <w:t xml:space="preserve"> </w:t>
      </w:r>
      <w:r w:rsidR="00C46D71" w:rsidRPr="0035095E">
        <w:rPr>
          <w:rFonts w:ascii="Times New Roman" w:eastAsia="Times New Roman" w:hAnsi="Times New Roman" w:cs="Times New Roman"/>
          <w:sz w:val="20"/>
          <w:szCs w:val="20"/>
          <w:lang w:val="en-US"/>
        </w:rPr>
        <w:t>no longer eligible for the child tax credit.</w:t>
      </w:r>
      <w:r w:rsidR="0035095E">
        <w:rPr>
          <w:rFonts w:ascii="Times New Roman" w:eastAsia="Times New Roman" w:hAnsi="Times New Roman" w:cs="Times New Roman"/>
          <w:sz w:val="20"/>
          <w:szCs w:val="20"/>
          <w:lang w:val="en-US"/>
        </w:rPr>
        <w:t xml:space="preserve">  </w:t>
      </w:r>
    </w:p>
    <w:p w14:paraId="437FBB4D" w14:textId="77777777" w:rsidR="0035095E" w:rsidRPr="0035095E" w:rsidRDefault="0035095E" w:rsidP="00C45D4F">
      <w:pPr>
        <w:rPr>
          <w:rFonts w:ascii="Times New Roman" w:eastAsia="Times New Roman" w:hAnsi="Times New Roman" w:cs="Times New Roman"/>
          <w:sz w:val="20"/>
          <w:szCs w:val="20"/>
          <w:lang w:val="en-US"/>
        </w:rPr>
      </w:pPr>
    </w:p>
    <w:p w14:paraId="4CA002E9" w14:textId="08EE44B0" w:rsidR="00215403" w:rsidRDefault="00D0226E" w:rsidP="00C45D4F">
      <w:pPr>
        <w:rPr>
          <w:rFonts w:ascii="Times New Roman" w:eastAsia="Times New Roman" w:hAnsi="Times New Roman" w:cs="Times New Roman"/>
          <w:bCs/>
          <w:sz w:val="20"/>
          <w:szCs w:val="20"/>
          <w:lang w:val="en-US"/>
        </w:rPr>
      </w:pPr>
      <w:r w:rsidRPr="0035095E">
        <w:rPr>
          <w:rFonts w:ascii="Times New Roman" w:eastAsia="Times New Roman" w:hAnsi="Times New Roman" w:cs="Times New Roman"/>
          <w:bCs/>
          <w:sz w:val="20"/>
          <w:szCs w:val="20"/>
          <w:lang w:val="en-US"/>
        </w:rPr>
        <w:t xml:space="preserve">Indeed, </w:t>
      </w:r>
      <w:r w:rsidR="00215403" w:rsidRPr="0035095E">
        <w:rPr>
          <w:rFonts w:ascii="Times New Roman" w:eastAsia="Times New Roman" w:hAnsi="Times New Roman" w:cs="Times New Roman"/>
          <w:bCs/>
          <w:sz w:val="20"/>
          <w:szCs w:val="20"/>
          <w:lang w:val="en-US"/>
        </w:rPr>
        <w:t>compared to personal financial courses</w:t>
      </w:r>
      <w:r w:rsidR="004A51AD" w:rsidRPr="0035095E">
        <w:rPr>
          <w:rFonts w:ascii="Times New Roman" w:eastAsia="Times New Roman" w:hAnsi="Times New Roman" w:cs="Times New Roman"/>
          <w:bCs/>
          <w:sz w:val="20"/>
          <w:szCs w:val="20"/>
          <w:lang w:val="en-US"/>
        </w:rPr>
        <w:t xml:space="preserve"> which some schools offer as a required course</w:t>
      </w:r>
      <w:r w:rsidR="00571A53" w:rsidRPr="0035095E">
        <w:rPr>
          <w:rFonts w:ascii="Times New Roman" w:eastAsia="Times New Roman" w:hAnsi="Times New Roman" w:cs="Times New Roman"/>
          <w:bCs/>
          <w:sz w:val="20"/>
          <w:szCs w:val="20"/>
          <w:lang w:val="en-US"/>
        </w:rPr>
        <w:t xml:space="preserve"> to </w:t>
      </w:r>
      <w:r w:rsidR="00713920" w:rsidRPr="0035095E">
        <w:rPr>
          <w:rFonts w:ascii="Times New Roman" w:eastAsia="Times New Roman" w:hAnsi="Times New Roman" w:cs="Times New Roman"/>
          <w:bCs/>
          <w:sz w:val="20"/>
          <w:szCs w:val="20"/>
          <w:lang w:val="en-US"/>
        </w:rPr>
        <w:t>improve</w:t>
      </w:r>
      <w:r w:rsidR="00571A53" w:rsidRPr="0035095E">
        <w:rPr>
          <w:rFonts w:ascii="Times New Roman" w:eastAsia="Times New Roman" w:hAnsi="Times New Roman" w:cs="Times New Roman"/>
          <w:bCs/>
          <w:sz w:val="20"/>
          <w:szCs w:val="20"/>
          <w:lang w:val="en-US"/>
        </w:rPr>
        <w:t xml:space="preserve"> students’ financial literacy</w:t>
      </w:r>
      <w:r w:rsidR="00215403" w:rsidRPr="0035095E">
        <w:rPr>
          <w:rFonts w:ascii="Times New Roman" w:eastAsia="Times New Roman" w:hAnsi="Times New Roman" w:cs="Times New Roman"/>
          <w:bCs/>
          <w:sz w:val="20"/>
          <w:szCs w:val="20"/>
          <w:lang w:val="en-US"/>
        </w:rPr>
        <w:t xml:space="preserve">, </w:t>
      </w:r>
      <w:r w:rsidR="002B2E3A" w:rsidRPr="0035095E">
        <w:rPr>
          <w:rFonts w:ascii="Times New Roman" w:eastAsia="Times New Roman" w:hAnsi="Times New Roman" w:cs="Times New Roman"/>
          <w:bCs/>
          <w:sz w:val="20"/>
          <w:szCs w:val="20"/>
          <w:lang w:val="en-US"/>
        </w:rPr>
        <w:t xml:space="preserve">taxation is a </w:t>
      </w:r>
      <w:r w:rsidR="00215403" w:rsidRPr="0035095E">
        <w:rPr>
          <w:rFonts w:ascii="Times New Roman" w:eastAsia="Times New Roman" w:hAnsi="Times New Roman" w:cs="Times New Roman"/>
          <w:bCs/>
          <w:sz w:val="20"/>
          <w:szCs w:val="20"/>
          <w:lang w:val="en-US"/>
        </w:rPr>
        <w:t>more technical</w:t>
      </w:r>
      <w:r w:rsidR="002B2E3A" w:rsidRPr="0035095E">
        <w:rPr>
          <w:rFonts w:ascii="Times New Roman" w:eastAsia="Times New Roman" w:hAnsi="Times New Roman" w:cs="Times New Roman"/>
          <w:bCs/>
          <w:sz w:val="20"/>
          <w:szCs w:val="20"/>
          <w:lang w:val="en-US"/>
        </w:rPr>
        <w:t xml:space="preserve"> subject. </w:t>
      </w:r>
      <w:r w:rsidR="00057803" w:rsidRPr="0035095E">
        <w:rPr>
          <w:rFonts w:ascii="Times New Roman" w:eastAsia="Times New Roman" w:hAnsi="Times New Roman" w:cs="Times New Roman"/>
          <w:bCs/>
          <w:sz w:val="20"/>
          <w:szCs w:val="20"/>
          <w:lang w:val="en-US"/>
        </w:rPr>
        <w:t>T</w:t>
      </w:r>
      <w:r w:rsidR="002B2E3A" w:rsidRPr="0035095E">
        <w:rPr>
          <w:rFonts w:ascii="Times New Roman" w:eastAsia="Times New Roman" w:hAnsi="Times New Roman" w:cs="Times New Roman"/>
          <w:bCs/>
          <w:sz w:val="20"/>
          <w:szCs w:val="20"/>
          <w:lang w:val="en-US"/>
        </w:rPr>
        <w:t xml:space="preserve">here are some aspects that are shared by </w:t>
      </w:r>
      <w:r w:rsidR="00375975" w:rsidRPr="0035095E">
        <w:rPr>
          <w:rFonts w:ascii="Times New Roman" w:eastAsia="Times New Roman" w:hAnsi="Times New Roman" w:cs="Times New Roman"/>
          <w:bCs/>
          <w:sz w:val="20"/>
          <w:szCs w:val="20"/>
          <w:lang w:val="en-US"/>
        </w:rPr>
        <w:t xml:space="preserve">tax </w:t>
      </w:r>
      <w:r w:rsidRPr="0035095E">
        <w:rPr>
          <w:rFonts w:ascii="Times New Roman" w:eastAsia="Times New Roman" w:hAnsi="Times New Roman" w:cs="Times New Roman"/>
          <w:bCs/>
          <w:sz w:val="20"/>
          <w:szCs w:val="20"/>
          <w:lang w:val="en-US"/>
        </w:rPr>
        <w:t>and</w:t>
      </w:r>
      <w:r w:rsidR="00375975" w:rsidRPr="0035095E">
        <w:rPr>
          <w:rFonts w:ascii="Times New Roman" w:eastAsia="Times New Roman" w:hAnsi="Times New Roman" w:cs="Times New Roman"/>
          <w:bCs/>
          <w:sz w:val="20"/>
          <w:szCs w:val="20"/>
          <w:lang w:val="en-US"/>
        </w:rPr>
        <w:t xml:space="preserve"> financial </w:t>
      </w:r>
      <w:r w:rsidR="002B2E3A" w:rsidRPr="0035095E">
        <w:rPr>
          <w:rFonts w:ascii="Times New Roman" w:eastAsia="Times New Roman" w:hAnsi="Times New Roman" w:cs="Times New Roman"/>
          <w:bCs/>
          <w:sz w:val="20"/>
          <w:szCs w:val="20"/>
          <w:lang w:val="en-US"/>
        </w:rPr>
        <w:t>knowledge</w:t>
      </w:r>
      <w:r w:rsidR="004A38E5" w:rsidRPr="0035095E">
        <w:rPr>
          <w:rFonts w:ascii="Times New Roman" w:eastAsia="Times New Roman" w:hAnsi="Times New Roman" w:cs="Times New Roman"/>
          <w:sz w:val="20"/>
          <w:szCs w:val="20"/>
          <w:lang w:val="en-US"/>
        </w:rPr>
        <w:t>,</w:t>
      </w:r>
      <w:r w:rsidRPr="0035095E">
        <w:rPr>
          <w:rFonts w:ascii="Times New Roman" w:eastAsia="Times New Roman" w:hAnsi="Times New Roman" w:cs="Times New Roman"/>
          <w:sz w:val="20"/>
          <w:szCs w:val="20"/>
          <w:lang w:val="en-US"/>
        </w:rPr>
        <w:t xml:space="preserve"> such as</w:t>
      </w:r>
      <w:r w:rsidR="00057803" w:rsidRPr="0035095E">
        <w:rPr>
          <w:rFonts w:ascii="Times New Roman" w:eastAsia="Times New Roman" w:hAnsi="Times New Roman" w:cs="Times New Roman"/>
          <w:sz w:val="20"/>
          <w:szCs w:val="20"/>
          <w:lang w:val="en-US"/>
        </w:rPr>
        <w:t xml:space="preserve"> </w:t>
      </w:r>
      <w:r w:rsidR="00375975" w:rsidRPr="0035095E">
        <w:rPr>
          <w:rFonts w:ascii="Times New Roman" w:eastAsia="Times New Roman" w:hAnsi="Times New Roman" w:cs="Times New Roman"/>
          <w:sz w:val="20"/>
          <w:szCs w:val="20"/>
          <w:lang w:val="en-US"/>
        </w:rPr>
        <w:t xml:space="preserve"> </w:t>
      </w:r>
      <w:r w:rsidRPr="0035095E">
        <w:rPr>
          <w:rFonts w:ascii="Times New Roman" w:eastAsia="Times New Roman" w:hAnsi="Times New Roman" w:cs="Times New Roman"/>
          <w:sz w:val="20"/>
          <w:szCs w:val="20"/>
          <w:lang w:val="en-US"/>
        </w:rPr>
        <w:t xml:space="preserve">quantitative skills and </w:t>
      </w:r>
      <w:r w:rsidR="00375975" w:rsidRPr="0035095E">
        <w:rPr>
          <w:rFonts w:ascii="Times New Roman" w:eastAsia="Times New Roman" w:hAnsi="Times New Roman" w:cs="Times New Roman"/>
          <w:sz w:val="20"/>
          <w:szCs w:val="20"/>
          <w:lang w:val="en-US"/>
        </w:rPr>
        <w:t xml:space="preserve">fundamental economic concepts. </w:t>
      </w:r>
      <w:r w:rsidR="00F90F8D" w:rsidRPr="0035095E">
        <w:rPr>
          <w:rFonts w:ascii="Times New Roman" w:eastAsia="Times New Roman" w:hAnsi="Times New Roman" w:cs="Times New Roman"/>
          <w:bCs/>
          <w:sz w:val="20"/>
          <w:szCs w:val="20"/>
          <w:lang w:val="en-US"/>
        </w:rPr>
        <w:t>Previous studies have documented that education regarding quantitative knowledge and financial management skills</w:t>
      </w:r>
      <w:r w:rsidR="00F90F8D" w:rsidRPr="0035095E" w:rsidDel="005B2E11">
        <w:rPr>
          <w:rFonts w:ascii="Times New Roman" w:eastAsia="Times New Roman" w:hAnsi="Times New Roman" w:cs="Times New Roman"/>
          <w:bCs/>
          <w:sz w:val="20"/>
          <w:szCs w:val="20"/>
          <w:lang w:val="en-US"/>
        </w:rPr>
        <w:t xml:space="preserve"> </w:t>
      </w:r>
      <w:r w:rsidR="00F90F8D" w:rsidRPr="0035095E">
        <w:rPr>
          <w:rFonts w:ascii="Times New Roman" w:eastAsia="Times New Roman" w:hAnsi="Times New Roman" w:cs="Times New Roman"/>
          <w:bCs/>
          <w:sz w:val="20"/>
          <w:szCs w:val="20"/>
          <w:lang w:val="en-US"/>
        </w:rPr>
        <w:t xml:space="preserve">helps improve financial literacy </w:t>
      </w:r>
      <w:r w:rsidR="00985676" w:rsidRPr="0035095E">
        <w:rPr>
          <w:rFonts w:ascii="Times New Roman" w:eastAsia="Times New Roman" w:hAnsi="Times New Roman" w:cs="Times New Roman"/>
          <w:bCs/>
          <w:sz w:val="20"/>
          <w:szCs w:val="20"/>
          <w:lang w:val="en-US"/>
        </w:rPr>
        <w:t>(</w:t>
      </w:r>
      <w:r w:rsidR="00F90F8D" w:rsidRPr="0035095E">
        <w:rPr>
          <w:rFonts w:ascii="Times New Roman" w:eastAsia="Times New Roman" w:hAnsi="Times New Roman" w:cs="Times New Roman"/>
          <w:bCs/>
          <w:sz w:val="20"/>
          <w:szCs w:val="20"/>
          <w:lang w:val="en-US"/>
        </w:rPr>
        <w:t>Chen and Volpe</w:t>
      </w:r>
      <w:r w:rsidR="00985676" w:rsidRPr="0035095E">
        <w:rPr>
          <w:rFonts w:ascii="Times New Roman" w:eastAsia="Times New Roman" w:hAnsi="Times New Roman" w:cs="Times New Roman"/>
          <w:bCs/>
          <w:sz w:val="20"/>
          <w:szCs w:val="20"/>
          <w:lang w:val="en-US"/>
        </w:rPr>
        <w:t>,</w:t>
      </w:r>
      <w:r w:rsidR="00F90F8D" w:rsidRPr="0035095E">
        <w:rPr>
          <w:rFonts w:ascii="Times New Roman" w:eastAsia="Times New Roman" w:hAnsi="Times New Roman" w:cs="Times New Roman"/>
          <w:bCs/>
          <w:sz w:val="20"/>
          <w:szCs w:val="20"/>
          <w:lang w:val="en-US"/>
        </w:rPr>
        <w:t xml:space="preserve"> </w:t>
      </w:r>
      <w:r w:rsidR="004F6BF5" w:rsidRPr="0035095E">
        <w:rPr>
          <w:rFonts w:ascii="Times New Roman" w:eastAsia="Times New Roman" w:hAnsi="Times New Roman" w:cs="Times New Roman"/>
          <w:bCs/>
          <w:sz w:val="20"/>
          <w:szCs w:val="20"/>
          <w:lang w:val="en-US"/>
        </w:rPr>
        <w:t>1998;</w:t>
      </w:r>
      <w:r w:rsidR="00F90F8D" w:rsidRPr="0035095E">
        <w:rPr>
          <w:rFonts w:ascii="Times New Roman" w:eastAsia="Times New Roman" w:hAnsi="Times New Roman" w:cs="Times New Roman"/>
          <w:bCs/>
          <w:sz w:val="20"/>
          <w:szCs w:val="20"/>
          <w:lang w:val="en-US"/>
        </w:rPr>
        <w:t xml:space="preserve"> </w:t>
      </w:r>
      <w:proofErr w:type="spellStart"/>
      <w:r w:rsidR="00F90F8D" w:rsidRPr="0035095E">
        <w:rPr>
          <w:rFonts w:ascii="Times New Roman" w:eastAsia="Times New Roman" w:hAnsi="Times New Roman" w:cs="Times New Roman"/>
          <w:bCs/>
          <w:sz w:val="20"/>
          <w:szCs w:val="20"/>
          <w:lang w:val="en-US"/>
        </w:rPr>
        <w:t>Annabi</w:t>
      </w:r>
      <w:proofErr w:type="spellEnd"/>
      <w:r w:rsidR="00F90F8D" w:rsidRPr="0035095E">
        <w:rPr>
          <w:rFonts w:ascii="Times New Roman" w:eastAsia="Times New Roman" w:hAnsi="Times New Roman" w:cs="Times New Roman"/>
          <w:bCs/>
          <w:sz w:val="20"/>
          <w:szCs w:val="20"/>
          <w:lang w:val="en-US"/>
        </w:rPr>
        <w:t xml:space="preserve"> et al.</w:t>
      </w:r>
      <w:r w:rsidR="00985676" w:rsidRPr="0035095E">
        <w:rPr>
          <w:rFonts w:ascii="Times New Roman" w:eastAsia="Times New Roman" w:hAnsi="Times New Roman" w:cs="Times New Roman"/>
          <w:bCs/>
          <w:sz w:val="20"/>
          <w:szCs w:val="20"/>
          <w:lang w:val="en-US"/>
        </w:rPr>
        <w:t>,</w:t>
      </w:r>
      <w:r w:rsidR="00F90F8D" w:rsidRPr="0035095E">
        <w:rPr>
          <w:rFonts w:ascii="Times New Roman" w:eastAsia="Times New Roman" w:hAnsi="Times New Roman" w:cs="Times New Roman"/>
          <w:bCs/>
          <w:sz w:val="20"/>
          <w:szCs w:val="20"/>
          <w:lang w:val="en-US"/>
        </w:rPr>
        <w:t xml:space="preserve"> 2018</w:t>
      </w:r>
      <w:r w:rsidR="00985676" w:rsidRPr="0035095E">
        <w:rPr>
          <w:rFonts w:ascii="Times New Roman" w:eastAsia="Times New Roman" w:hAnsi="Times New Roman" w:cs="Times New Roman"/>
          <w:bCs/>
          <w:sz w:val="20"/>
          <w:szCs w:val="20"/>
          <w:lang w:val="en-US"/>
        </w:rPr>
        <w:t xml:space="preserve">; </w:t>
      </w:r>
      <w:r w:rsidR="00F90F8D" w:rsidRPr="0035095E">
        <w:rPr>
          <w:rFonts w:ascii="Times New Roman" w:eastAsia="Times New Roman" w:hAnsi="Times New Roman" w:cs="Times New Roman"/>
          <w:bCs/>
          <w:sz w:val="20"/>
          <w:szCs w:val="20"/>
          <w:lang w:val="en-US"/>
        </w:rPr>
        <w:t>Jacobsen and Correia</w:t>
      </w:r>
      <w:r w:rsidR="00985676" w:rsidRPr="0035095E">
        <w:rPr>
          <w:rFonts w:ascii="Times New Roman" w:eastAsia="Times New Roman" w:hAnsi="Times New Roman" w:cs="Times New Roman"/>
          <w:bCs/>
          <w:sz w:val="20"/>
          <w:szCs w:val="20"/>
          <w:lang w:val="en-US"/>
        </w:rPr>
        <w:t>,</w:t>
      </w:r>
      <w:r w:rsidR="00F90F8D" w:rsidRPr="0035095E">
        <w:rPr>
          <w:rFonts w:ascii="Times New Roman" w:eastAsia="Times New Roman" w:hAnsi="Times New Roman" w:cs="Times New Roman"/>
          <w:bCs/>
          <w:sz w:val="20"/>
          <w:szCs w:val="20"/>
          <w:lang w:val="en-US"/>
        </w:rPr>
        <w:t xml:space="preserve"> 2019</w:t>
      </w:r>
      <w:r w:rsidR="00985676" w:rsidRPr="0035095E">
        <w:rPr>
          <w:rFonts w:ascii="Times New Roman" w:eastAsia="Times New Roman" w:hAnsi="Times New Roman" w:cs="Times New Roman"/>
          <w:bCs/>
          <w:sz w:val="20"/>
          <w:szCs w:val="20"/>
          <w:lang w:val="en-US"/>
        </w:rPr>
        <w:t xml:space="preserve">; </w:t>
      </w:r>
      <w:r w:rsidR="00F90F8D" w:rsidRPr="0035095E">
        <w:rPr>
          <w:rFonts w:ascii="Times New Roman" w:eastAsia="Times New Roman" w:hAnsi="Times New Roman" w:cs="Times New Roman"/>
          <w:bCs/>
          <w:sz w:val="20"/>
          <w:szCs w:val="20"/>
          <w:lang w:val="en-US"/>
        </w:rPr>
        <w:t>Lusardi and Wallace</w:t>
      </w:r>
      <w:r w:rsidR="00985676" w:rsidRPr="0035095E">
        <w:rPr>
          <w:rFonts w:ascii="Times New Roman" w:eastAsia="Times New Roman" w:hAnsi="Times New Roman" w:cs="Times New Roman"/>
          <w:bCs/>
          <w:sz w:val="20"/>
          <w:szCs w:val="20"/>
          <w:lang w:val="en-US"/>
        </w:rPr>
        <w:t>,</w:t>
      </w:r>
      <w:r w:rsidR="00F90F8D" w:rsidRPr="0035095E">
        <w:rPr>
          <w:rFonts w:ascii="Times New Roman" w:eastAsia="Times New Roman" w:hAnsi="Times New Roman" w:cs="Times New Roman"/>
          <w:bCs/>
          <w:sz w:val="20"/>
          <w:szCs w:val="20"/>
          <w:lang w:val="en-US"/>
        </w:rPr>
        <w:t xml:space="preserve"> 2013</w:t>
      </w:r>
      <w:r w:rsidR="00985676" w:rsidRPr="0035095E">
        <w:rPr>
          <w:rFonts w:ascii="Times New Roman" w:eastAsia="Times New Roman" w:hAnsi="Times New Roman" w:cs="Times New Roman"/>
          <w:bCs/>
          <w:sz w:val="20"/>
          <w:szCs w:val="20"/>
          <w:lang w:val="en-US"/>
        </w:rPr>
        <w:t xml:space="preserve">). </w:t>
      </w:r>
      <w:r w:rsidR="00215403" w:rsidRPr="0035095E">
        <w:rPr>
          <w:rFonts w:ascii="Times New Roman" w:eastAsia="Times New Roman" w:hAnsi="Times New Roman" w:cs="Times New Roman"/>
          <w:bCs/>
          <w:sz w:val="20"/>
          <w:szCs w:val="20"/>
          <w:lang w:val="en-US"/>
        </w:rPr>
        <w:t>Lyon and Caitlin (2020) find that the overall education level (high school, bachelor’s or graduate degree) is positively associat</w:t>
      </w:r>
      <w:r w:rsidR="00B329C3" w:rsidRPr="0035095E">
        <w:rPr>
          <w:rFonts w:ascii="Times New Roman" w:eastAsia="Times New Roman" w:hAnsi="Times New Roman" w:cs="Times New Roman"/>
          <w:bCs/>
          <w:sz w:val="20"/>
          <w:szCs w:val="20"/>
          <w:lang w:val="en-US"/>
        </w:rPr>
        <w:t>ed</w:t>
      </w:r>
      <w:r w:rsidR="00215403" w:rsidRPr="0035095E">
        <w:rPr>
          <w:rFonts w:ascii="Times New Roman" w:eastAsia="Times New Roman" w:hAnsi="Times New Roman" w:cs="Times New Roman"/>
          <w:bCs/>
          <w:sz w:val="20"/>
          <w:szCs w:val="20"/>
          <w:lang w:val="en-US"/>
        </w:rPr>
        <w:t xml:space="preserve"> with consumers’ tax literacy. </w:t>
      </w:r>
      <w:r w:rsidR="00F90F8D" w:rsidRPr="0035095E">
        <w:rPr>
          <w:rFonts w:ascii="Times New Roman" w:eastAsia="Times New Roman" w:hAnsi="Times New Roman" w:cs="Times New Roman"/>
          <w:bCs/>
          <w:sz w:val="20"/>
          <w:szCs w:val="20"/>
          <w:lang w:val="en-US"/>
        </w:rPr>
        <w:t>Rakow (2019) suggests that accounting courses help students to improve their financial literacy.</w:t>
      </w:r>
      <w:r w:rsidR="00985676" w:rsidRPr="0035095E">
        <w:rPr>
          <w:rFonts w:ascii="Times New Roman" w:eastAsia="Times New Roman" w:hAnsi="Times New Roman" w:cs="Times New Roman"/>
          <w:bCs/>
          <w:sz w:val="20"/>
          <w:szCs w:val="20"/>
          <w:lang w:val="en-US"/>
        </w:rPr>
        <w:t xml:space="preserve"> </w:t>
      </w:r>
      <w:r w:rsidR="00A605F0" w:rsidRPr="0035095E">
        <w:rPr>
          <w:rFonts w:ascii="Times New Roman" w:eastAsia="Times New Roman" w:hAnsi="Times New Roman" w:cs="Times New Roman"/>
          <w:bCs/>
          <w:sz w:val="20"/>
          <w:szCs w:val="20"/>
          <w:lang w:val="en-US"/>
        </w:rPr>
        <w:t>However, t</w:t>
      </w:r>
      <w:r w:rsidR="004F6BF5" w:rsidRPr="0035095E">
        <w:rPr>
          <w:rFonts w:ascii="Times New Roman" w:eastAsia="Times New Roman" w:hAnsi="Times New Roman" w:cs="Times New Roman"/>
          <w:bCs/>
          <w:sz w:val="20"/>
          <w:szCs w:val="20"/>
          <w:lang w:val="en-US"/>
        </w:rPr>
        <w:t xml:space="preserve">hese studies do not </w:t>
      </w:r>
      <w:r w:rsidR="00A605F0" w:rsidRPr="0035095E">
        <w:rPr>
          <w:rFonts w:ascii="Times New Roman" w:eastAsia="Times New Roman" w:hAnsi="Times New Roman" w:cs="Times New Roman"/>
          <w:bCs/>
          <w:sz w:val="20"/>
          <w:szCs w:val="20"/>
          <w:lang w:val="en-US"/>
        </w:rPr>
        <w:t>examine</w:t>
      </w:r>
      <w:r w:rsidR="005A4364" w:rsidRPr="0035095E">
        <w:rPr>
          <w:rFonts w:ascii="Times New Roman" w:eastAsia="Times New Roman" w:hAnsi="Times New Roman" w:cs="Times New Roman"/>
          <w:bCs/>
          <w:sz w:val="20"/>
          <w:szCs w:val="20"/>
          <w:lang w:val="en-US"/>
        </w:rPr>
        <w:t xml:space="preserve"> the effect of accounting or tax education on tax literacy.</w:t>
      </w:r>
      <w:r w:rsidR="0035095E">
        <w:rPr>
          <w:rFonts w:ascii="Times New Roman" w:eastAsia="Times New Roman" w:hAnsi="Times New Roman" w:cs="Times New Roman"/>
          <w:bCs/>
          <w:sz w:val="20"/>
          <w:szCs w:val="20"/>
          <w:lang w:val="en-US"/>
        </w:rPr>
        <w:t xml:space="preserve">  </w:t>
      </w:r>
    </w:p>
    <w:p w14:paraId="704EC204" w14:textId="77777777" w:rsidR="0035095E" w:rsidRPr="0035095E" w:rsidRDefault="0035095E" w:rsidP="00C45D4F">
      <w:pPr>
        <w:rPr>
          <w:rFonts w:ascii="Times New Roman" w:eastAsia="Times New Roman" w:hAnsi="Times New Roman" w:cs="Times New Roman"/>
          <w:bCs/>
          <w:sz w:val="20"/>
          <w:szCs w:val="20"/>
          <w:lang w:val="en-US"/>
        </w:rPr>
      </w:pPr>
    </w:p>
    <w:p w14:paraId="5E69213E" w14:textId="48E84752" w:rsidR="005A4364" w:rsidRDefault="004152BF" w:rsidP="00C45D4F">
      <w:pPr>
        <w:rPr>
          <w:rFonts w:ascii="Times New Roman" w:eastAsia="Times New Roman" w:hAnsi="Times New Roman" w:cs="Times New Roman"/>
          <w:sz w:val="20"/>
          <w:szCs w:val="20"/>
          <w:lang w:val="en-US"/>
        </w:rPr>
      </w:pPr>
      <w:r w:rsidRPr="0035095E">
        <w:rPr>
          <w:rFonts w:ascii="Times New Roman" w:eastAsia="Times New Roman" w:hAnsi="Times New Roman" w:cs="Times New Roman"/>
          <w:sz w:val="20"/>
          <w:szCs w:val="20"/>
          <w:lang w:val="en-US"/>
        </w:rPr>
        <w:t xml:space="preserve">We are interested in finding </w:t>
      </w:r>
      <w:r w:rsidR="00783D20" w:rsidRPr="0035095E">
        <w:rPr>
          <w:rFonts w:ascii="Times New Roman" w:eastAsia="Times New Roman" w:hAnsi="Times New Roman" w:cs="Times New Roman"/>
          <w:sz w:val="20"/>
          <w:szCs w:val="20"/>
          <w:lang w:val="en-US"/>
        </w:rPr>
        <w:t xml:space="preserve">the </w:t>
      </w:r>
      <w:r w:rsidR="000173CF" w:rsidRPr="0035095E">
        <w:rPr>
          <w:rFonts w:ascii="Times New Roman" w:eastAsia="Times New Roman" w:hAnsi="Times New Roman" w:cs="Times New Roman"/>
          <w:sz w:val="20"/>
          <w:szCs w:val="20"/>
          <w:lang w:val="en-US"/>
        </w:rPr>
        <w:t xml:space="preserve">impact of </w:t>
      </w:r>
      <w:r w:rsidR="007E52E2" w:rsidRPr="0035095E">
        <w:rPr>
          <w:rFonts w:ascii="Times New Roman" w:eastAsia="Times New Roman" w:hAnsi="Times New Roman" w:cs="Times New Roman"/>
          <w:sz w:val="20"/>
          <w:szCs w:val="20"/>
          <w:lang w:val="en-US"/>
        </w:rPr>
        <w:t xml:space="preserve">non-tax accounting </w:t>
      </w:r>
      <w:r w:rsidR="000173CF" w:rsidRPr="0035095E">
        <w:rPr>
          <w:rFonts w:ascii="Times New Roman" w:eastAsia="Times New Roman" w:hAnsi="Times New Roman" w:cs="Times New Roman"/>
          <w:sz w:val="20"/>
          <w:szCs w:val="20"/>
          <w:lang w:val="en-US"/>
        </w:rPr>
        <w:t xml:space="preserve">and tax education </w:t>
      </w:r>
      <w:r w:rsidR="00783D20" w:rsidRPr="0035095E">
        <w:rPr>
          <w:rFonts w:ascii="Times New Roman" w:eastAsia="Times New Roman" w:hAnsi="Times New Roman" w:cs="Times New Roman"/>
          <w:sz w:val="20"/>
          <w:szCs w:val="20"/>
          <w:lang w:val="en-US"/>
        </w:rPr>
        <w:t>on</w:t>
      </w:r>
      <w:r w:rsidR="000173CF" w:rsidRPr="0035095E">
        <w:rPr>
          <w:rFonts w:ascii="Times New Roman" w:eastAsia="Times New Roman" w:hAnsi="Times New Roman" w:cs="Times New Roman"/>
          <w:sz w:val="20"/>
          <w:szCs w:val="20"/>
          <w:lang w:val="en-US"/>
        </w:rPr>
        <w:t xml:space="preserve"> college students’ tax literacy. </w:t>
      </w:r>
      <w:r w:rsidR="00C10325" w:rsidRPr="0035095E">
        <w:rPr>
          <w:rFonts w:ascii="Times New Roman" w:eastAsia="Times New Roman" w:hAnsi="Times New Roman" w:cs="Times New Roman"/>
          <w:sz w:val="20"/>
          <w:szCs w:val="20"/>
          <w:lang w:val="en-US"/>
        </w:rPr>
        <w:t>In the school where th</w:t>
      </w:r>
      <w:r w:rsidR="00713920" w:rsidRPr="0035095E">
        <w:rPr>
          <w:rFonts w:ascii="Times New Roman" w:eastAsia="Times New Roman" w:hAnsi="Times New Roman" w:cs="Times New Roman"/>
          <w:sz w:val="20"/>
          <w:szCs w:val="20"/>
          <w:lang w:val="en-US"/>
        </w:rPr>
        <w:t>is</w:t>
      </w:r>
      <w:r w:rsidR="00C10325" w:rsidRPr="0035095E">
        <w:rPr>
          <w:rFonts w:ascii="Times New Roman" w:eastAsia="Times New Roman" w:hAnsi="Times New Roman" w:cs="Times New Roman"/>
          <w:sz w:val="20"/>
          <w:szCs w:val="20"/>
          <w:lang w:val="en-US"/>
        </w:rPr>
        <w:t xml:space="preserve"> survey is administered, non-tax accounting courses </w:t>
      </w:r>
      <w:r w:rsidR="0020539C" w:rsidRPr="0035095E">
        <w:rPr>
          <w:rFonts w:ascii="Times New Roman" w:eastAsia="Times New Roman" w:hAnsi="Times New Roman" w:cs="Times New Roman"/>
          <w:sz w:val="20"/>
          <w:szCs w:val="20"/>
          <w:lang w:val="en-US"/>
        </w:rPr>
        <w:t xml:space="preserve">(introductory financial accounting and managerial accounting) </w:t>
      </w:r>
      <w:r w:rsidR="00C10325" w:rsidRPr="0035095E">
        <w:rPr>
          <w:rFonts w:ascii="Times New Roman" w:eastAsia="Times New Roman" w:hAnsi="Times New Roman" w:cs="Times New Roman"/>
          <w:sz w:val="20"/>
          <w:szCs w:val="20"/>
          <w:lang w:val="en-US"/>
        </w:rPr>
        <w:t xml:space="preserve">are required for all business students, but </w:t>
      </w:r>
      <w:r w:rsidR="00571A53" w:rsidRPr="0035095E">
        <w:rPr>
          <w:rFonts w:ascii="Times New Roman" w:eastAsia="Times New Roman" w:hAnsi="Times New Roman" w:cs="Times New Roman"/>
          <w:sz w:val="20"/>
          <w:szCs w:val="20"/>
          <w:lang w:val="en-US"/>
        </w:rPr>
        <w:t>students</w:t>
      </w:r>
      <w:r w:rsidR="00C10325" w:rsidRPr="0035095E">
        <w:rPr>
          <w:rFonts w:ascii="Times New Roman" w:eastAsia="Times New Roman" w:hAnsi="Times New Roman" w:cs="Times New Roman"/>
          <w:sz w:val="20"/>
          <w:szCs w:val="20"/>
          <w:lang w:val="en-US"/>
        </w:rPr>
        <w:t xml:space="preserve"> are not required take any tax courses unless they are accounting majors. </w:t>
      </w:r>
      <w:r w:rsidR="00FD2AA5" w:rsidRPr="0035095E">
        <w:rPr>
          <w:rFonts w:ascii="Times New Roman" w:eastAsia="Times New Roman" w:hAnsi="Times New Roman" w:cs="Times New Roman"/>
          <w:sz w:val="20"/>
          <w:szCs w:val="20"/>
          <w:lang w:val="en-US"/>
        </w:rPr>
        <w:t xml:space="preserve">The school does not offer a personal financial course. </w:t>
      </w:r>
      <w:r w:rsidR="00C10325" w:rsidRPr="0035095E">
        <w:rPr>
          <w:rFonts w:ascii="Times New Roman" w:eastAsia="Times New Roman" w:hAnsi="Times New Roman" w:cs="Times New Roman"/>
          <w:sz w:val="20"/>
          <w:szCs w:val="20"/>
          <w:lang w:val="en-US"/>
        </w:rPr>
        <w:t>Therefore,</w:t>
      </w:r>
      <w:r w:rsidR="00713920" w:rsidRPr="0035095E">
        <w:rPr>
          <w:rFonts w:ascii="Times New Roman" w:eastAsia="Times New Roman" w:hAnsi="Times New Roman" w:cs="Times New Roman"/>
          <w:sz w:val="20"/>
          <w:szCs w:val="20"/>
          <w:lang w:val="en-US"/>
        </w:rPr>
        <w:t xml:space="preserve"> </w:t>
      </w:r>
      <w:r w:rsidR="00571A53" w:rsidRPr="0035095E">
        <w:rPr>
          <w:rFonts w:ascii="Times New Roman" w:eastAsia="Times New Roman" w:hAnsi="Times New Roman" w:cs="Times New Roman"/>
          <w:sz w:val="20"/>
          <w:szCs w:val="20"/>
          <w:lang w:val="en-US"/>
        </w:rPr>
        <w:t>these intro-level</w:t>
      </w:r>
      <w:r w:rsidR="00C10325" w:rsidRPr="0035095E">
        <w:rPr>
          <w:rFonts w:ascii="Times New Roman" w:eastAsia="Times New Roman" w:hAnsi="Times New Roman" w:cs="Times New Roman"/>
          <w:sz w:val="20"/>
          <w:szCs w:val="20"/>
          <w:lang w:val="en-US"/>
        </w:rPr>
        <w:t xml:space="preserve"> accounting courses represent the </w:t>
      </w:r>
      <w:r w:rsidR="00076FD4" w:rsidRPr="0035095E">
        <w:rPr>
          <w:rFonts w:ascii="Times New Roman" w:eastAsia="Times New Roman" w:hAnsi="Times New Roman" w:cs="Times New Roman"/>
          <w:sz w:val="20"/>
          <w:szCs w:val="20"/>
          <w:lang w:val="en-US"/>
        </w:rPr>
        <w:t>n</w:t>
      </w:r>
      <w:r w:rsidR="00C10325" w:rsidRPr="0035095E">
        <w:rPr>
          <w:rFonts w:ascii="Times New Roman" w:eastAsia="Times New Roman" w:hAnsi="Times New Roman" w:cs="Times New Roman"/>
          <w:sz w:val="20"/>
          <w:szCs w:val="20"/>
          <w:lang w:val="en-US"/>
        </w:rPr>
        <w:t xml:space="preserve">on-tax courses that may </w:t>
      </w:r>
      <w:r w:rsidR="00076FD4" w:rsidRPr="0035095E">
        <w:rPr>
          <w:rFonts w:ascii="Times New Roman" w:eastAsia="Times New Roman" w:hAnsi="Times New Roman" w:cs="Times New Roman"/>
          <w:sz w:val="20"/>
          <w:szCs w:val="20"/>
          <w:lang w:val="en-US"/>
        </w:rPr>
        <w:t xml:space="preserve">potentially </w:t>
      </w:r>
      <w:r w:rsidR="00C10325" w:rsidRPr="0035095E">
        <w:rPr>
          <w:rFonts w:ascii="Times New Roman" w:eastAsia="Times New Roman" w:hAnsi="Times New Roman" w:cs="Times New Roman"/>
          <w:sz w:val="20"/>
          <w:szCs w:val="20"/>
          <w:lang w:val="en-US"/>
        </w:rPr>
        <w:t xml:space="preserve">improve students’ tax literacy. </w:t>
      </w:r>
      <w:r w:rsidR="00B26FA9" w:rsidRPr="0035095E">
        <w:rPr>
          <w:rFonts w:ascii="Times New Roman" w:eastAsia="Times New Roman" w:hAnsi="Times New Roman" w:cs="Times New Roman"/>
          <w:sz w:val="20"/>
          <w:szCs w:val="20"/>
          <w:lang w:val="en-US"/>
        </w:rPr>
        <w:t xml:space="preserve">In addition, students who have taken accounting courses may have better confidence in handling their own tax returns since they know more about calculating profits and losses. </w:t>
      </w:r>
      <w:r w:rsidR="007B38CD" w:rsidRPr="0035095E">
        <w:rPr>
          <w:rFonts w:ascii="Times New Roman" w:eastAsia="Times New Roman" w:hAnsi="Times New Roman" w:cs="Times New Roman"/>
          <w:sz w:val="20"/>
          <w:szCs w:val="20"/>
          <w:lang w:val="en-US"/>
        </w:rPr>
        <w:t xml:space="preserve">If mere financial and managerial accounting courses can improve a student’s tax literacy, </w:t>
      </w:r>
      <w:proofErr w:type="gramStart"/>
      <w:r w:rsidR="007B38CD" w:rsidRPr="0035095E">
        <w:rPr>
          <w:rFonts w:ascii="Times New Roman" w:eastAsia="Times New Roman" w:hAnsi="Times New Roman" w:cs="Times New Roman"/>
          <w:sz w:val="20"/>
          <w:szCs w:val="20"/>
          <w:lang w:val="en-US"/>
        </w:rPr>
        <w:t>a tax</w:t>
      </w:r>
      <w:proofErr w:type="gramEnd"/>
      <w:r w:rsidR="007B38CD" w:rsidRPr="0035095E">
        <w:rPr>
          <w:rFonts w:ascii="Times New Roman" w:eastAsia="Times New Roman" w:hAnsi="Times New Roman" w:cs="Times New Roman"/>
          <w:sz w:val="20"/>
          <w:szCs w:val="20"/>
          <w:lang w:val="en-US"/>
        </w:rPr>
        <w:t xml:space="preserve"> training would not be </w:t>
      </w:r>
      <w:r w:rsidR="00B91EC8" w:rsidRPr="0035095E">
        <w:rPr>
          <w:rFonts w:ascii="Times New Roman" w:eastAsia="Times New Roman" w:hAnsi="Times New Roman" w:cs="Times New Roman"/>
          <w:sz w:val="20"/>
          <w:szCs w:val="20"/>
          <w:lang w:val="en-US"/>
        </w:rPr>
        <w:t>necessary</w:t>
      </w:r>
      <w:r w:rsidR="007B38CD" w:rsidRPr="0035095E">
        <w:rPr>
          <w:rFonts w:ascii="Times New Roman" w:eastAsia="Times New Roman" w:hAnsi="Times New Roman" w:cs="Times New Roman"/>
          <w:sz w:val="20"/>
          <w:szCs w:val="20"/>
          <w:lang w:val="en-US"/>
        </w:rPr>
        <w:t xml:space="preserve"> to increase their tax literacy levels. </w:t>
      </w:r>
      <w:r w:rsidR="0035095E">
        <w:rPr>
          <w:rFonts w:ascii="Times New Roman" w:eastAsia="Times New Roman" w:hAnsi="Times New Roman" w:cs="Times New Roman"/>
          <w:sz w:val="20"/>
          <w:szCs w:val="20"/>
          <w:lang w:val="en-US"/>
        </w:rPr>
        <w:t xml:space="preserve"> </w:t>
      </w:r>
    </w:p>
    <w:p w14:paraId="144BD9B2" w14:textId="77777777" w:rsidR="0035095E" w:rsidRPr="0035095E" w:rsidRDefault="0035095E" w:rsidP="00C45D4F">
      <w:pPr>
        <w:rPr>
          <w:rFonts w:ascii="Times New Roman" w:eastAsia="Times New Roman" w:hAnsi="Times New Roman" w:cs="Times New Roman"/>
          <w:sz w:val="20"/>
          <w:szCs w:val="20"/>
          <w:lang w:val="en-US"/>
        </w:rPr>
      </w:pPr>
    </w:p>
    <w:p w14:paraId="1EA55EB5" w14:textId="07778E33" w:rsidR="007B38CD" w:rsidRDefault="00076FD4" w:rsidP="00C45D4F">
      <w:pPr>
        <w:rPr>
          <w:rFonts w:ascii="Times New Roman" w:eastAsia="Times New Roman" w:hAnsi="Times New Roman" w:cs="Times New Roman"/>
          <w:sz w:val="20"/>
          <w:szCs w:val="20"/>
          <w:lang w:val="en-US"/>
        </w:rPr>
      </w:pPr>
      <w:r w:rsidRPr="0035095E">
        <w:rPr>
          <w:rFonts w:ascii="Times New Roman" w:eastAsia="Times New Roman" w:hAnsi="Times New Roman" w:cs="Times New Roman"/>
          <w:sz w:val="20"/>
          <w:szCs w:val="20"/>
          <w:lang w:val="en-US"/>
        </w:rPr>
        <w:t>As opposed to non-tax courses, t</w:t>
      </w:r>
      <w:r w:rsidR="00303B17" w:rsidRPr="0035095E">
        <w:rPr>
          <w:rFonts w:ascii="Times New Roman" w:eastAsia="Times New Roman" w:hAnsi="Times New Roman" w:cs="Times New Roman"/>
          <w:sz w:val="20"/>
          <w:szCs w:val="20"/>
          <w:lang w:val="en-US"/>
        </w:rPr>
        <w:t xml:space="preserve">ax courses </w:t>
      </w:r>
      <w:r w:rsidR="000C44DE" w:rsidRPr="0035095E">
        <w:rPr>
          <w:rFonts w:ascii="Times New Roman" w:eastAsia="Times New Roman" w:hAnsi="Times New Roman" w:cs="Times New Roman"/>
          <w:sz w:val="20"/>
          <w:szCs w:val="20"/>
          <w:lang w:val="en-US"/>
        </w:rPr>
        <w:t xml:space="preserve">are expected </w:t>
      </w:r>
      <w:r w:rsidR="00303B17" w:rsidRPr="0035095E">
        <w:rPr>
          <w:rFonts w:ascii="Times New Roman" w:eastAsia="Times New Roman" w:hAnsi="Times New Roman" w:cs="Times New Roman"/>
          <w:sz w:val="20"/>
          <w:szCs w:val="20"/>
          <w:lang w:val="en-US"/>
        </w:rPr>
        <w:t xml:space="preserve">to improve students’ tax literacy. </w:t>
      </w:r>
      <w:r w:rsidR="00725F06" w:rsidRPr="0035095E">
        <w:rPr>
          <w:rFonts w:ascii="Times New Roman" w:eastAsia="Times New Roman" w:hAnsi="Times New Roman" w:cs="Times New Roman"/>
          <w:sz w:val="20"/>
          <w:szCs w:val="20"/>
          <w:lang w:val="en-US"/>
        </w:rPr>
        <w:t>In the school where the survey is administered</w:t>
      </w:r>
      <w:r w:rsidR="000C44DE" w:rsidRPr="0035095E">
        <w:rPr>
          <w:rFonts w:ascii="Times New Roman" w:eastAsia="Times New Roman" w:hAnsi="Times New Roman" w:cs="Times New Roman"/>
          <w:sz w:val="20"/>
          <w:szCs w:val="20"/>
          <w:lang w:val="en-US"/>
        </w:rPr>
        <w:t>, u</w:t>
      </w:r>
      <w:r w:rsidR="006E50B8" w:rsidRPr="0035095E">
        <w:rPr>
          <w:rFonts w:ascii="Times New Roman" w:eastAsia="Times New Roman" w:hAnsi="Times New Roman" w:cs="Times New Roman"/>
          <w:sz w:val="20"/>
          <w:szCs w:val="20"/>
          <w:lang w:val="en-US"/>
        </w:rPr>
        <w:t>ndergraduate t</w:t>
      </w:r>
      <w:r w:rsidR="007B38CD" w:rsidRPr="0035095E">
        <w:rPr>
          <w:rFonts w:ascii="Times New Roman" w:eastAsia="Times New Roman" w:hAnsi="Times New Roman" w:cs="Times New Roman"/>
          <w:sz w:val="20"/>
          <w:szCs w:val="20"/>
          <w:lang w:val="en-US"/>
        </w:rPr>
        <w:t>ax courses are offered by the accounting department</w:t>
      </w:r>
      <w:r w:rsidR="001C25C8" w:rsidRPr="0035095E">
        <w:rPr>
          <w:rFonts w:ascii="Times New Roman" w:eastAsia="Times New Roman" w:hAnsi="Times New Roman" w:cs="Times New Roman"/>
          <w:sz w:val="20"/>
          <w:szCs w:val="20"/>
          <w:lang w:val="en-US"/>
        </w:rPr>
        <w:t>s</w:t>
      </w:r>
      <w:r w:rsidR="007B38CD" w:rsidRPr="0035095E">
        <w:rPr>
          <w:rFonts w:ascii="Times New Roman" w:eastAsia="Times New Roman" w:hAnsi="Times New Roman" w:cs="Times New Roman"/>
          <w:sz w:val="20"/>
          <w:szCs w:val="20"/>
          <w:lang w:val="en-US"/>
        </w:rPr>
        <w:t>.</w:t>
      </w:r>
      <w:r w:rsidR="005D2C45" w:rsidRPr="0035095E">
        <w:rPr>
          <w:rFonts w:ascii="Times New Roman" w:eastAsia="Times New Roman" w:hAnsi="Times New Roman" w:cs="Times New Roman"/>
          <w:sz w:val="20"/>
          <w:szCs w:val="20"/>
          <w:lang w:val="en-US"/>
        </w:rPr>
        <w:t xml:space="preserve"> A</w:t>
      </w:r>
      <w:r w:rsidR="007B38CD" w:rsidRPr="0035095E">
        <w:rPr>
          <w:rFonts w:ascii="Times New Roman" w:eastAsia="Times New Roman" w:hAnsi="Times New Roman" w:cs="Times New Roman"/>
          <w:sz w:val="20"/>
          <w:szCs w:val="20"/>
          <w:lang w:val="en-US"/>
        </w:rPr>
        <w:t>ccounting majors</w:t>
      </w:r>
      <w:r w:rsidR="005D2C45" w:rsidRPr="0035095E">
        <w:rPr>
          <w:rFonts w:ascii="Times New Roman" w:eastAsia="Times New Roman" w:hAnsi="Times New Roman" w:cs="Times New Roman"/>
          <w:sz w:val="20"/>
          <w:szCs w:val="20"/>
          <w:lang w:val="en-US"/>
        </w:rPr>
        <w:t xml:space="preserve"> are</w:t>
      </w:r>
      <w:r w:rsidR="007B38CD" w:rsidRPr="0035095E">
        <w:rPr>
          <w:rFonts w:ascii="Times New Roman" w:eastAsia="Times New Roman" w:hAnsi="Times New Roman" w:cs="Times New Roman"/>
          <w:sz w:val="20"/>
          <w:szCs w:val="20"/>
          <w:lang w:val="en-US"/>
        </w:rPr>
        <w:t xml:space="preserve"> require</w:t>
      </w:r>
      <w:r w:rsidR="005D2C45" w:rsidRPr="0035095E">
        <w:rPr>
          <w:rFonts w:ascii="Times New Roman" w:eastAsia="Times New Roman" w:hAnsi="Times New Roman" w:cs="Times New Roman"/>
          <w:sz w:val="20"/>
          <w:szCs w:val="20"/>
          <w:lang w:val="en-US"/>
        </w:rPr>
        <w:t>d to take</w:t>
      </w:r>
      <w:r w:rsidR="007B38CD" w:rsidRPr="0035095E">
        <w:rPr>
          <w:rFonts w:ascii="Times New Roman" w:eastAsia="Times New Roman" w:hAnsi="Times New Roman" w:cs="Times New Roman"/>
          <w:sz w:val="20"/>
          <w:szCs w:val="20"/>
          <w:lang w:val="en-US"/>
        </w:rPr>
        <w:t xml:space="preserve"> </w:t>
      </w:r>
      <w:r w:rsidR="00A605F0" w:rsidRPr="0035095E">
        <w:rPr>
          <w:rFonts w:ascii="Times New Roman" w:eastAsia="Times New Roman" w:hAnsi="Times New Roman" w:cs="Times New Roman"/>
          <w:sz w:val="20"/>
          <w:szCs w:val="20"/>
          <w:lang w:val="en-US"/>
        </w:rPr>
        <w:t xml:space="preserve">intermediate </w:t>
      </w:r>
      <w:r w:rsidR="00571A53" w:rsidRPr="0035095E">
        <w:rPr>
          <w:rFonts w:ascii="Times New Roman" w:eastAsia="Times New Roman" w:hAnsi="Times New Roman" w:cs="Times New Roman"/>
          <w:sz w:val="20"/>
          <w:szCs w:val="20"/>
          <w:lang w:val="en-US"/>
        </w:rPr>
        <w:t>accounting</w:t>
      </w:r>
      <w:r w:rsidR="007B38CD" w:rsidRPr="0035095E">
        <w:rPr>
          <w:rFonts w:ascii="Times New Roman" w:eastAsia="Times New Roman" w:hAnsi="Times New Roman" w:cs="Times New Roman"/>
          <w:sz w:val="20"/>
          <w:szCs w:val="20"/>
          <w:lang w:val="en-US"/>
        </w:rPr>
        <w:t xml:space="preserve"> and cost accounting courses after </w:t>
      </w:r>
      <w:r w:rsidR="006E50B8" w:rsidRPr="0035095E">
        <w:rPr>
          <w:rFonts w:ascii="Times New Roman" w:eastAsia="Times New Roman" w:hAnsi="Times New Roman" w:cs="Times New Roman"/>
          <w:sz w:val="20"/>
          <w:szCs w:val="20"/>
          <w:lang w:val="en-US"/>
        </w:rPr>
        <w:t xml:space="preserve">the </w:t>
      </w:r>
      <w:r w:rsidR="007B38CD" w:rsidRPr="0035095E">
        <w:rPr>
          <w:rFonts w:ascii="Times New Roman" w:eastAsia="Times New Roman" w:hAnsi="Times New Roman" w:cs="Times New Roman"/>
          <w:sz w:val="20"/>
          <w:szCs w:val="20"/>
          <w:lang w:val="en-US"/>
        </w:rPr>
        <w:t xml:space="preserve">introductory accounting courses. </w:t>
      </w:r>
      <w:r w:rsidR="000C44DE" w:rsidRPr="0035095E">
        <w:rPr>
          <w:rFonts w:ascii="Times New Roman" w:eastAsia="Times New Roman" w:hAnsi="Times New Roman" w:cs="Times New Roman"/>
          <w:sz w:val="20"/>
          <w:szCs w:val="20"/>
          <w:lang w:val="en-US"/>
        </w:rPr>
        <w:t>The</w:t>
      </w:r>
      <w:r w:rsidR="007B38CD" w:rsidRPr="0035095E">
        <w:rPr>
          <w:rFonts w:ascii="Times New Roman" w:eastAsia="Times New Roman" w:hAnsi="Times New Roman" w:cs="Times New Roman"/>
          <w:sz w:val="20"/>
          <w:szCs w:val="20"/>
          <w:lang w:val="en-US"/>
        </w:rPr>
        <w:t xml:space="preserve"> </w:t>
      </w:r>
      <w:r w:rsidR="00514641" w:rsidRPr="0035095E">
        <w:rPr>
          <w:rFonts w:ascii="Times New Roman" w:eastAsia="Times New Roman" w:hAnsi="Times New Roman" w:cs="Times New Roman"/>
          <w:sz w:val="20"/>
          <w:szCs w:val="20"/>
          <w:lang w:val="en-US"/>
        </w:rPr>
        <w:t>i</w:t>
      </w:r>
      <w:r w:rsidR="007B38CD" w:rsidRPr="0035095E">
        <w:rPr>
          <w:rFonts w:ascii="Times New Roman" w:eastAsia="Times New Roman" w:hAnsi="Times New Roman" w:cs="Times New Roman"/>
          <w:sz w:val="20"/>
          <w:szCs w:val="20"/>
          <w:lang w:val="en-US"/>
        </w:rPr>
        <w:t xml:space="preserve">ntroductory tax course </w:t>
      </w:r>
      <w:r w:rsidR="00514641" w:rsidRPr="0035095E">
        <w:rPr>
          <w:rFonts w:ascii="Times New Roman" w:eastAsia="Times New Roman" w:hAnsi="Times New Roman" w:cs="Times New Roman"/>
          <w:sz w:val="20"/>
          <w:szCs w:val="20"/>
          <w:lang w:val="en-US"/>
        </w:rPr>
        <w:t xml:space="preserve">(individual income tax and tax on property transactions) </w:t>
      </w:r>
      <w:r w:rsidR="007B38CD" w:rsidRPr="0035095E">
        <w:rPr>
          <w:rFonts w:ascii="Times New Roman" w:eastAsia="Times New Roman" w:hAnsi="Times New Roman" w:cs="Times New Roman"/>
          <w:sz w:val="20"/>
          <w:szCs w:val="20"/>
          <w:lang w:val="en-US"/>
        </w:rPr>
        <w:t xml:space="preserve">is </w:t>
      </w:r>
      <w:r w:rsidR="005D2C45" w:rsidRPr="0035095E">
        <w:rPr>
          <w:rFonts w:ascii="Times New Roman" w:eastAsia="Times New Roman" w:hAnsi="Times New Roman" w:cs="Times New Roman"/>
          <w:sz w:val="20"/>
          <w:szCs w:val="20"/>
          <w:lang w:val="en-US"/>
        </w:rPr>
        <w:t xml:space="preserve">then </w:t>
      </w:r>
      <w:r w:rsidR="007B38CD" w:rsidRPr="0035095E">
        <w:rPr>
          <w:rFonts w:ascii="Times New Roman" w:eastAsia="Times New Roman" w:hAnsi="Times New Roman" w:cs="Times New Roman"/>
          <w:sz w:val="20"/>
          <w:szCs w:val="20"/>
          <w:lang w:val="en-US"/>
        </w:rPr>
        <w:t xml:space="preserve">taken </w:t>
      </w:r>
      <w:r w:rsidR="00571A53" w:rsidRPr="0035095E">
        <w:rPr>
          <w:rFonts w:ascii="Times New Roman" w:eastAsia="Times New Roman" w:hAnsi="Times New Roman" w:cs="Times New Roman"/>
          <w:sz w:val="20"/>
          <w:szCs w:val="20"/>
          <w:lang w:val="en-US"/>
        </w:rPr>
        <w:t>after</w:t>
      </w:r>
      <w:r w:rsidR="007B38CD" w:rsidRPr="0035095E">
        <w:rPr>
          <w:rFonts w:ascii="Times New Roman" w:eastAsia="Times New Roman" w:hAnsi="Times New Roman" w:cs="Times New Roman"/>
          <w:sz w:val="20"/>
          <w:szCs w:val="20"/>
          <w:lang w:val="en-US"/>
        </w:rPr>
        <w:t xml:space="preserve"> </w:t>
      </w:r>
      <w:r w:rsidR="005D2C45" w:rsidRPr="0035095E">
        <w:rPr>
          <w:rFonts w:ascii="Times New Roman" w:eastAsia="Times New Roman" w:hAnsi="Times New Roman" w:cs="Times New Roman"/>
          <w:sz w:val="20"/>
          <w:szCs w:val="20"/>
          <w:lang w:val="en-US"/>
        </w:rPr>
        <w:t xml:space="preserve">the </w:t>
      </w:r>
      <w:r w:rsidR="007B38CD" w:rsidRPr="0035095E">
        <w:rPr>
          <w:rFonts w:ascii="Times New Roman" w:eastAsia="Times New Roman" w:hAnsi="Times New Roman" w:cs="Times New Roman"/>
          <w:sz w:val="20"/>
          <w:szCs w:val="20"/>
          <w:lang w:val="en-US"/>
        </w:rPr>
        <w:t>intermediate accounting.</w:t>
      </w:r>
      <w:r w:rsidR="006E50B8" w:rsidRPr="0035095E">
        <w:rPr>
          <w:rFonts w:ascii="Times New Roman" w:eastAsia="Times New Roman" w:hAnsi="Times New Roman" w:cs="Times New Roman"/>
          <w:sz w:val="20"/>
          <w:szCs w:val="20"/>
          <w:lang w:val="en-US"/>
        </w:rPr>
        <w:t xml:space="preserve"> </w:t>
      </w:r>
      <w:r w:rsidR="005D2C45" w:rsidRPr="0035095E">
        <w:rPr>
          <w:rFonts w:ascii="Times New Roman" w:eastAsia="Times New Roman" w:hAnsi="Times New Roman" w:cs="Times New Roman"/>
          <w:sz w:val="20"/>
          <w:szCs w:val="20"/>
          <w:lang w:val="en-US"/>
        </w:rPr>
        <w:t>Since i</w:t>
      </w:r>
      <w:r w:rsidR="006E50B8" w:rsidRPr="0035095E">
        <w:rPr>
          <w:rFonts w:ascii="Times New Roman" w:eastAsia="Times New Roman" w:hAnsi="Times New Roman" w:cs="Times New Roman"/>
          <w:sz w:val="20"/>
          <w:szCs w:val="20"/>
          <w:lang w:val="en-US"/>
        </w:rPr>
        <w:t xml:space="preserve">ncome </w:t>
      </w:r>
      <w:r w:rsidR="001C25C8" w:rsidRPr="0035095E">
        <w:rPr>
          <w:rFonts w:ascii="Times New Roman" w:eastAsia="Times New Roman" w:hAnsi="Times New Roman" w:cs="Times New Roman"/>
          <w:sz w:val="20"/>
          <w:szCs w:val="20"/>
          <w:lang w:val="en-US"/>
        </w:rPr>
        <w:t>t</w:t>
      </w:r>
      <w:r w:rsidR="00AE020F" w:rsidRPr="0035095E">
        <w:rPr>
          <w:rFonts w:ascii="Times New Roman" w:eastAsia="Times New Roman" w:hAnsi="Times New Roman" w:cs="Times New Roman"/>
          <w:sz w:val="20"/>
          <w:szCs w:val="20"/>
          <w:lang w:val="en-US"/>
        </w:rPr>
        <w:t xml:space="preserve">ax accounting is </w:t>
      </w:r>
      <w:r w:rsidR="00571A53" w:rsidRPr="0035095E">
        <w:rPr>
          <w:rFonts w:ascii="Times New Roman" w:eastAsia="Times New Roman" w:hAnsi="Times New Roman" w:cs="Times New Roman"/>
          <w:sz w:val="20"/>
          <w:szCs w:val="20"/>
          <w:lang w:val="en-US"/>
        </w:rPr>
        <w:t>one of the chapters</w:t>
      </w:r>
      <w:r w:rsidR="00414A24" w:rsidRPr="0035095E">
        <w:rPr>
          <w:rFonts w:ascii="Times New Roman" w:eastAsia="Times New Roman" w:hAnsi="Times New Roman" w:cs="Times New Roman"/>
          <w:sz w:val="20"/>
          <w:szCs w:val="20"/>
          <w:lang w:val="en-US"/>
        </w:rPr>
        <w:t xml:space="preserve"> covered</w:t>
      </w:r>
      <w:r w:rsidR="00AE020F" w:rsidRPr="0035095E">
        <w:rPr>
          <w:rFonts w:ascii="Times New Roman" w:eastAsia="Times New Roman" w:hAnsi="Times New Roman" w:cs="Times New Roman"/>
          <w:sz w:val="20"/>
          <w:szCs w:val="20"/>
          <w:lang w:val="en-US"/>
        </w:rPr>
        <w:t xml:space="preserve"> in </w:t>
      </w:r>
      <w:r w:rsidR="005D2C45" w:rsidRPr="0035095E">
        <w:rPr>
          <w:rFonts w:ascii="Times New Roman" w:eastAsia="Times New Roman" w:hAnsi="Times New Roman" w:cs="Times New Roman"/>
          <w:sz w:val="20"/>
          <w:szCs w:val="20"/>
          <w:lang w:val="en-US"/>
        </w:rPr>
        <w:t xml:space="preserve">the </w:t>
      </w:r>
      <w:r w:rsidR="00AE020F" w:rsidRPr="0035095E">
        <w:rPr>
          <w:rFonts w:ascii="Times New Roman" w:eastAsia="Times New Roman" w:hAnsi="Times New Roman" w:cs="Times New Roman"/>
          <w:sz w:val="20"/>
          <w:szCs w:val="20"/>
          <w:lang w:val="en-US"/>
        </w:rPr>
        <w:t>intermediate accounting</w:t>
      </w:r>
      <w:r w:rsidR="005D2C45" w:rsidRPr="0035095E">
        <w:rPr>
          <w:rFonts w:ascii="Times New Roman" w:eastAsia="Times New Roman" w:hAnsi="Times New Roman" w:cs="Times New Roman"/>
          <w:sz w:val="20"/>
          <w:szCs w:val="20"/>
          <w:lang w:val="en-US"/>
        </w:rPr>
        <w:t xml:space="preserve"> course</w:t>
      </w:r>
      <w:r w:rsidR="00AE020F" w:rsidRPr="0035095E">
        <w:rPr>
          <w:rFonts w:ascii="Times New Roman" w:eastAsia="Times New Roman" w:hAnsi="Times New Roman" w:cs="Times New Roman"/>
          <w:sz w:val="20"/>
          <w:szCs w:val="20"/>
          <w:lang w:val="en-US"/>
        </w:rPr>
        <w:t xml:space="preserve">, students </w:t>
      </w:r>
      <w:r w:rsidR="006E50B8" w:rsidRPr="0035095E">
        <w:rPr>
          <w:rFonts w:ascii="Times New Roman" w:eastAsia="Times New Roman" w:hAnsi="Times New Roman" w:cs="Times New Roman"/>
          <w:sz w:val="20"/>
          <w:szCs w:val="20"/>
          <w:lang w:val="en-US"/>
        </w:rPr>
        <w:t xml:space="preserve">who </w:t>
      </w:r>
      <w:r w:rsidR="00414A24" w:rsidRPr="0035095E">
        <w:rPr>
          <w:rFonts w:ascii="Times New Roman" w:eastAsia="Times New Roman" w:hAnsi="Times New Roman" w:cs="Times New Roman"/>
          <w:sz w:val="20"/>
          <w:szCs w:val="20"/>
          <w:lang w:val="en-US"/>
        </w:rPr>
        <w:t xml:space="preserve">have </w:t>
      </w:r>
      <w:r w:rsidR="005D2C45" w:rsidRPr="0035095E">
        <w:rPr>
          <w:rFonts w:ascii="Times New Roman" w:eastAsia="Times New Roman" w:hAnsi="Times New Roman" w:cs="Times New Roman"/>
          <w:sz w:val="20"/>
          <w:szCs w:val="20"/>
          <w:lang w:val="en-US"/>
        </w:rPr>
        <w:t>completed the</w:t>
      </w:r>
      <w:r w:rsidR="006E50B8" w:rsidRPr="0035095E">
        <w:rPr>
          <w:rFonts w:ascii="Times New Roman" w:eastAsia="Times New Roman" w:hAnsi="Times New Roman" w:cs="Times New Roman"/>
          <w:sz w:val="20"/>
          <w:szCs w:val="20"/>
          <w:lang w:val="en-US"/>
        </w:rPr>
        <w:t xml:space="preserve"> intermediate accounting </w:t>
      </w:r>
      <w:r w:rsidR="005D2C45" w:rsidRPr="0035095E">
        <w:rPr>
          <w:rFonts w:ascii="Times New Roman" w:eastAsia="Times New Roman" w:hAnsi="Times New Roman" w:cs="Times New Roman"/>
          <w:sz w:val="20"/>
          <w:szCs w:val="20"/>
          <w:lang w:val="en-US"/>
        </w:rPr>
        <w:t xml:space="preserve">should </w:t>
      </w:r>
      <w:r w:rsidR="00AE020F" w:rsidRPr="0035095E">
        <w:rPr>
          <w:rFonts w:ascii="Times New Roman" w:eastAsia="Times New Roman" w:hAnsi="Times New Roman" w:cs="Times New Roman"/>
          <w:sz w:val="20"/>
          <w:szCs w:val="20"/>
          <w:lang w:val="en-US"/>
        </w:rPr>
        <w:t xml:space="preserve">have some exposure to tax concepts before taking </w:t>
      </w:r>
      <w:r w:rsidR="00414A24" w:rsidRPr="0035095E">
        <w:rPr>
          <w:rFonts w:ascii="Times New Roman" w:eastAsia="Times New Roman" w:hAnsi="Times New Roman" w:cs="Times New Roman"/>
          <w:sz w:val="20"/>
          <w:szCs w:val="20"/>
          <w:lang w:val="en-US"/>
        </w:rPr>
        <w:t xml:space="preserve">any specific </w:t>
      </w:r>
      <w:r w:rsidR="00AE020F" w:rsidRPr="0035095E">
        <w:rPr>
          <w:rFonts w:ascii="Times New Roman" w:eastAsia="Times New Roman" w:hAnsi="Times New Roman" w:cs="Times New Roman"/>
          <w:sz w:val="20"/>
          <w:szCs w:val="20"/>
          <w:lang w:val="en-US"/>
        </w:rPr>
        <w:t xml:space="preserve">tax courses. </w:t>
      </w:r>
      <w:r w:rsidR="001C25C8" w:rsidRPr="0035095E">
        <w:rPr>
          <w:rFonts w:ascii="Times New Roman" w:eastAsia="Times New Roman" w:hAnsi="Times New Roman" w:cs="Times New Roman"/>
          <w:sz w:val="20"/>
          <w:szCs w:val="20"/>
          <w:lang w:val="en-US"/>
        </w:rPr>
        <w:t>As such, w</w:t>
      </w:r>
      <w:r w:rsidR="007B38CD" w:rsidRPr="0035095E">
        <w:rPr>
          <w:rFonts w:ascii="Times New Roman" w:eastAsia="Times New Roman" w:hAnsi="Times New Roman" w:cs="Times New Roman"/>
          <w:sz w:val="20"/>
          <w:szCs w:val="20"/>
          <w:lang w:val="en-US"/>
        </w:rPr>
        <w:t>e also explore whether students who have taken intermediate accounting courses but not a tax course have better tax literacy</w:t>
      </w:r>
      <w:r w:rsidR="00AE020F" w:rsidRPr="0035095E">
        <w:rPr>
          <w:rFonts w:ascii="Times New Roman" w:eastAsia="Times New Roman" w:hAnsi="Times New Roman" w:cs="Times New Roman"/>
          <w:sz w:val="20"/>
          <w:szCs w:val="20"/>
          <w:lang w:val="en-US"/>
        </w:rPr>
        <w:t xml:space="preserve"> than students who have only taken introductory accounting courses</w:t>
      </w:r>
      <w:r w:rsidR="007B38CD" w:rsidRPr="0035095E">
        <w:rPr>
          <w:rFonts w:ascii="Times New Roman" w:eastAsia="Times New Roman" w:hAnsi="Times New Roman" w:cs="Times New Roman"/>
          <w:sz w:val="20"/>
          <w:szCs w:val="20"/>
          <w:lang w:val="en-US"/>
        </w:rPr>
        <w:t xml:space="preserve">. </w:t>
      </w:r>
      <w:r w:rsidR="005C4D53" w:rsidRPr="0035095E">
        <w:rPr>
          <w:rFonts w:ascii="Times New Roman" w:eastAsia="Times New Roman" w:hAnsi="Times New Roman" w:cs="Times New Roman"/>
          <w:sz w:val="20"/>
          <w:szCs w:val="20"/>
          <w:lang w:val="en-US"/>
        </w:rPr>
        <w:t xml:space="preserve">Doing so allows us to </w:t>
      </w:r>
      <w:r w:rsidR="00D33D97" w:rsidRPr="0035095E">
        <w:rPr>
          <w:rFonts w:ascii="Times New Roman" w:eastAsia="Times New Roman" w:hAnsi="Times New Roman" w:cs="Times New Roman"/>
          <w:sz w:val="20"/>
          <w:szCs w:val="20"/>
          <w:lang w:val="en-US"/>
        </w:rPr>
        <w:t>distinguish</w:t>
      </w:r>
      <w:r w:rsidR="005C4D53" w:rsidRPr="0035095E">
        <w:rPr>
          <w:rFonts w:ascii="Times New Roman" w:eastAsia="Times New Roman" w:hAnsi="Times New Roman" w:cs="Times New Roman"/>
          <w:sz w:val="20"/>
          <w:szCs w:val="20"/>
          <w:lang w:val="en-US"/>
        </w:rPr>
        <w:t xml:space="preserve"> the effect of tax education </w:t>
      </w:r>
      <w:r w:rsidR="00D33D97" w:rsidRPr="0035095E">
        <w:rPr>
          <w:rFonts w:ascii="Times New Roman" w:eastAsia="Times New Roman" w:hAnsi="Times New Roman" w:cs="Times New Roman"/>
          <w:sz w:val="20"/>
          <w:szCs w:val="20"/>
          <w:lang w:val="en-US"/>
        </w:rPr>
        <w:t>from non-tax advanced accounting courses</w:t>
      </w:r>
      <w:r w:rsidR="001C25C8" w:rsidRPr="0035095E">
        <w:rPr>
          <w:rFonts w:ascii="Times New Roman" w:eastAsia="Times New Roman" w:hAnsi="Times New Roman" w:cs="Times New Roman"/>
          <w:sz w:val="20"/>
          <w:szCs w:val="20"/>
          <w:lang w:val="en-US"/>
        </w:rPr>
        <w:t xml:space="preserve"> on tax literacy</w:t>
      </w:r>
      <w:r w:rsidR="005C4D53" w:rsidRPr="0035095E">
        <w:rPr>
          <w:rFonts w:ascii="Times New Roman" w:eastAsia="Times New Roman" w:hAnsi="Times New Roman" w:cs="Times New Roman"/>
          <w:sz w:val="20"/>
          <w:szCs w:val="20"/>
          <w:lang w:val="en-US"/>
        </w:rPr>
        <w:t>.</w:t>
      </w:r>
      <w:r w:rsidR="0035095E">
        <w:rPr>
          <w:rFonts w:ascii="Times New Roman" w:eastAsia="Times New Roman" w:hAnsi="Times New Roman" w:cs="Times New Roman"/>
          <w:sz w:val="20"/>
          <w:szCs w:val="20"/>
          <w:lang w:val="en-US"/>
        </w:rPr>
        <w:t xml:space="preserve">  </w:t>
      </w:r>
    </w:p>
    <w:p w14:paraId="31EDC079" w14:textId="77777777" w:rsidR="0035095E" w:rsidRPr="0035095E" w:rsidRDefault="0035095E" w:rsidP="00C45D4F">
      <w:pPr>
        <w:rPr>
          <w:rFonts w:ascii="Times New Roman" w:eastAsia="Times New Roman" w:hAnsi="Times New Roman" w:cs="Times New Roman"/>
          <w:sz w:val="20"/>
          <w:szCs w:val="20"/>
          <w:lang w:val="en-US"/>
        </w:rPr>
      </w:pPr>
    </w:p>
    <w:p w14:paraId="2FD6C639" w14:textId="086BE576" w:rsidR="004152BF" w:rsidRDefault="00AE020F" w:rsidP="00C45D4F">
      <w:pPr>
        <w:rPr>
          <w:rFonts w:ascii="Times New Roman" w:eastAsia="Times New Roman" w:hAnsi="Times New Roman" w:cs="Times New Roman"/>
          <w:bCs/>
          <w:sz w:val="20"/>
          <w:szCs w:val="20"/>
          <w:lang w:val="en-US"/>
        </w:rPr>
      </w:pPr>
      <w:r w:rsidRPr="0035095E">
        <w:rPr>
          <w:rFonts w:ascii="Times New Roman" w:eastAsia="Times New Roman" w:hAnsi="Times New Roman" w:cs="Times New Roman"/>
          <w:bCs/>
          <w:sz w:val="20"/>
          <w:szCs w:val="20"/>
          <w:lang w:val="en-US"/>
        </w:rPr>
        <w:t>In addition</w:t>
      </w:r>
      <w:r w:rsidR="004152BF" w:rsidRPr="0035095E">
        <w:rPr>
          <w:rFonts w:ascii="Times New Roman" w:eastAsia="Times New Roman" w:hAnsi="Times New Roman" w:cs="Times New Roman"/>
          <w:bCs/>
          <w:sz w:val="20"/>
          <w:szCs w:val="20"/>
          <w:lang w:val="en-US"/>
        </w:rPr>
        <w:t xml:space="preserve">, </w:t>
      </w:r>
      <w:r w:rsidRPr="0035095E">
        <w:rPr>
          <w:rFonts w:ascii="Times New Roman" w:eastAsia="Times New Roman" w:hAnsi="Times New Roman" w:cs="Times New Roman"/>
          <w:bCs/>
          <w:sz w:val="20"/>
          <w:szCs w:val="20"/>
          <w:lang w:val="en-US"/>
        </w:rPr>
        <w:t>the</w:t>
      </w:r>
      <w:r w:rsidR="004152BF" w:rsidRPr="0035095E">
        <w:rPr>
          <w:rFonts w:ascii="Times New Roman" w:eastAsia="Times New Roman" w:hAnsi="Times New Roman" w:cs="Times New Roman"/>
          <w:bCs/>
          <w:sz w:val="20"/>
          <w:szCs w:val="20"/>
          <w:lang w:val="en-US"/>
        </w:rPr>
        <w:t xml:space="preserve"> tax literacy </w:t>
      </w:r>
      <w:r w:rsidRPr="0035095E">
        <w:rPr>
          <w:rFonts w:ascii="Times New Roman" w:eastAsia="Times New Roman" w:hAnsi="Times New Roman" w:cs="Times New Roman"/>
          <w:bCs/>
          <w:sz w:val="20"/>
          <w:szCs w:val="20"/>
          <w:lang w:val="en-US"/>
        </w:rPr>
        <w:t xml:space="preserve">of young adults </w:t>
      </w:r>
      <w:r w:rsidR="004152BF" w:rsidRPr="0035095E">
        <w:rPr>
          <w:rFonts w:ascii="Times New Roman" w:eastAsia="Times New Roman" w:hAnsi="Times New Roman" w:cs="Times New Roman"/>
          <w:bCs/>
          <w:sz w:val="20"/>
          <w:szCs w:val="20"/>
          <w:lang w:val="en-US"/>
        </w:rPr>
        <w:t>may be driven by social-economic factors, such as family influence or work experience</w:t>
      </w:r>
      <w:r w:rsidRPr="0035095E">
        <w:rPr>
          <w:rFonts w:ascii="Times New Roman" w:eastAsia="Times New Roman" w:hAnsi="Times New Roman" w:cs="Times New Roman"/>
          <w:bCs/>
          <w:sz w:val="20"/>
          <w:szCs w:val="20"/>
          <w:lang w:val="en-US"/>
        </w:rPr>
        <w:t>, rather than education</w:t>
      </w:r>
      <w:r w:rsidR="004152BF" w:rsidRPr="0035095E">
        <w:rPr>
          <w:rFonts w:ascii="Times New Roman" w:eastAsia="Times New Roman" w:hAnsi="Times New Roman" w:cs="Times New Roman"/>
          <w:bCs/>
          <w:sz w:val="20"/>
          <w:szCs w:val="20"/>
          <w:lang w:val="en-US"/>
        </w:rPr>
        <w:t>.</w:t>
      </w:r>
      <w:r w:rsidR="00D33D97" w:rsidRPr="0035095E">
        <w:rPr>
          <w:rFonts w:ascii="Times New Roman" w:eastAsia="Times New Roman" w:hAnsi="Times New Roman" w:cs="Times New Roman"/>
          <w:bCs/>
          <w:sz w:val="20"/>
          <w:szCs w:val="20"/>
          <w:lang w:val="en-US"/>
        </w:rPr>
        <w:t xml:space="preserve"> </w:t>
      </w:r>
      <w:r w:rsidR="004152BF" w:rsidRPr="0035095E">
        <w:rPr>
          <w:rFonts w:ascii="Times New Roman" w:eastAsia="Times New Roman" w:hAnsi="Times New Roman" w:cs="Times New Roman"/>
          <w:sz w:val="20"/>
          <w:szCs w:val="20"/>
          <w:lang w:val="en-US"/>
        </w:rPr>
        <w:t xml:space="preserve">For example, prior studies on tax literacy find that the demographics of the respondents are correlated with their tax literacy levels. </w:t>
      </w:r>
      <w:r w:rsidR="004268CD" w:rsidRPr="0035095E">
        <w:rPr>
          <w:rStyle w:val="standard-view-style"/>
          <w:rFonts w:ascii="Times New Roman" w:hAnsi="Times New Roman" w:cs="Times New Roman"/>
          <w:sz w:val="20"/>
          <w:szCs w:val="20"/>
          <w:lang w:val="en-US"/>
        </w:rPr>
        <w:t xml:space="preserve">Chardon, Lee, De Zwaan and Liu </w:t>
      </w:r>
      <w:r w:rsidR="004152BF" w:rsidRPr="0035095E">
        <w:rPr>
          <w:rFonts w:ascii="Times New Roman" w:eastAsia="Times New Roman" w:hAnsi="Times New Roman" w:cs="Times New Roman"/>
          <w:sz w:val="20"/>
          <w:szCs w:val="20"/>
          <w:lang w:val="en-US"/>
        </w:rPr>
        <w:t>(2016)</w:t>
      </w:r>
      <w:r w:rsidR="004152BF" w:rsidRPr="0035095E">
        <w:rPr>
          <w:rStyle w:val="FootnoteReference"/>
          <w:rFonts w:ascii="Times New Roman" w:eastAsia="Times New Roman" w:hAnsi="Times New Roman" w:cs="Times New Roman"/>
          <w:sz w:val="20"/>
          <w:szCs w:val="20"/>
          <w:lang w:val="en-US"/>
        </w:rPr>
        <w:footnoteReference w:id="4"/>
      </w:r>
      <w:r w:rsidR="004152BF" w:rsidRPr="0035095E">
        <w:rPr>
          <w:rFonts w:ascii="Times New Roman" w:eastAsia="Times New Roman" w:hAnsi="Times New Roman" w:cs="Times New Roman"/>
          <w:sz w:val="20"/>
          <w:szCs w:val="20"/>
          <w:lang w:val="en-US"/>
        </w:rPr>
        <w:t xml:space="preserve"> find that male students tend to have better tax literacy</w:t>
      </w:r>
      <w:r w:rsidR="00884E57" w:rsidRPr="0035095E">
        <w:rPr>
          <w:rFonts w:ascii="Times New Roman" w:eastAsia="Times New Roman" w:hAnsi="Times New Roman" w:cs="Times New Roman"/>
          <w:sz w:val="20"/>
          <w:szCs w:val="20"/>
          <w:lang w:val="en-US"/>
        </w:rPr>
        <w:t>.</w:t>
      </w:r>
      <w:r w:rsidR="004152BF" w:rsidRPr="0035095E">
        <w:rPr>
          <w:rFonts w:ascii="Times New Roman" w:eastAsia="Times New Roman" w:hAnsi="Times New Roman" w:cs="Times New Roman"/>
          <w:sz w:val="20"/>
          <w:szCs w:val="20"/>
          <w:lang w:val="en-US"/>
        </w:rPr>
        <w:t xml:space="preserve"> Lyon and Caitlin (2020) also find that gender, age, and household income levels are significantly associated with tax literacy. </w:t>
      </w:r>
      <w:r w:rsidR="004152BF" w:rsidRPr="0035095E">
        <w:rPr>
          <w:rFonts w:ascii="Times New Roman" w:eastAsia="Times New Roman" w:hAnsi="Times New Roman" w:cs="Times New Roman"/>
          <w:bCs/>
          <w:sz w:val="20"/>
          <w:szCs w:val="20"/>
          <w:lang w:val="en-US"/>
        </w:rPr>
        <w:t>As the financial literacy of young adults are heavily influenced by their family (Lusardi et al., 2010), characteristics such as family wealth and parents’ occupation may also play a role in respondents’ tax literacy.</w:t>
      </w:r>
      <w:r w:rsidR="00D33D97" w:rsidRPr="0035095E">
        <w:rPr>
          <w:rFonts w:ascii="Times New Roman" w:eastAsia="Times New Roman" w:hAnsi="Times New Roman" w:cs="Times New Roman"/>
          <w:bCs/>
          <w:sz w:val="20"/>
          <w:szCs w:val="20"/>
          <w:lang w:val="en-US"/>
        </w:rPr>
        <w:t xml:space="preserve"> </w:t>
      </w:r>
      <w:r w:rsidR="00884E57" w:rsidRPr="0035095E">
        <w:rPr>
          <w:rFonts w:ascii="Times New Roman" w:eastAsia="Times New Roman" w:hAnsi="Times New Roman" w:cs="Times New Roman"/>
          <w:sz w:val="20"/>
          <w:szCs w:val="20"/>
          <w:lang w:val="en-US"/>
        </w:rPr>
        <w:t xml:space="preserve">The work by </w:t>
      </w:r>
      <w:r w:rsidR="004268CD" w:rsidRPr="0035095E">
        <w:rPr>
          <w:rStyle w:val="standard-view-style"/>
          <w:rFonts w:ascii="Times New Roman" w:hAnsi="Times New Roman" w:cs="Times New Roman"/>
          <w:sz w:val="20"/>
          <w:szCs w:val="20"/>
          <w:lang w:val="en-US"/>
        </w:rPr>
        <w:t>Chardon, Freudenberg and Brimble</w:t>
      </w:r>
      <w:r w:rsidR="00D33D97" w:rsidRPr="0035095E">
        <w:rPr>
          <w:rFonts w:ascii="Times New Roman" w:eastAsia="Times New Roman" w:hAnsi="Times New Roman" w:cs="Times New Roman"/>
          <w:bCs/>
          <w:sz w:val="20"/>
          <w:szCs w:val="20"/>
          <w:lang w:val="en-US"/>
        </w:rPr>
        <w:t xml:space="preserve"> (2016) and Lyon and Caitlin (2020) </w:t>
      </w:r>
      <w:r w:rsidR="00884E57" w:rsidRPr="0035095E">
        <w:rPr>
          <w:rFonts w:ascii="Times New Roman" w:eastAsia="Times New Roman" w:hAnsi="Times New Roman" w:cs="Times New Roman"/>
          <w:bCs/>
          <w:sz w:val="20"/>
          <w:szCs w:val="20"/>
          <w:lang w:val="en-US"/>
        </w:rPr>
        <w:t xml:space="preserve">both </w:t>
      </w:r>
      <w:r w:rsidR="00D33D97" w:rsidRPr="0035095E">
        <w:rPr>
          <w:rFonts w:ascii="Times New Roman" w:eastAsia="Times New Roman" w:hAnsi="Times New Roman" w:cs="Times New Roman"/>
          <w:bCs/>
          <w:sz w:val="20"/>
          <w:szCs w:val="20"/>
          <w:lang w:val="en-US"/>
        </w:rPr>
        <w:t xml:space="preserve">find that age is positively associated with tax literacy. This is likely because respondents’ </w:t>
      </w:r>
      <w:r w:rsidR="0061249D" w:rsidRPr="0035095E">
        <w:rPr>
          <w:rFonts w:ascii="Times New Roman" w:eastAsia="Times New Roman" w:hAnsi="Times New Roman" w:cs="Times New Roman"/>
          <w:bCs/>
          <w:sz w:val="20"/>
          <w:szCs w:val="20"/>
          <w:lang w:val="en-US"/>
        </w:rPr>
        <w:t xml:space="preserve">ages are related to their </w:t>
      </w:r>
      <w:r w:rsidR="00D33D97" w:rsidRPr="0035095E">
        <w:rPr>
          <w:rFonts w:ascii="Times New Roman" w:eastAsia="Times New Roman" w:hAnsi="Times New Roman" w:cs="Times New Roman"/>
          <w:bCs/>
          <w:sz w:val="20"/>
          <w:szCs w:val="20"/>
          <w:lang w:val="en-US"/>
        </w:rPr>
        <w:t xml:space="preserve">experiences in handling financial and/or tax matters. </w:t>
      </w:r>
      <w:r w:rsidR="0061249D" w:rsidRPr="0035095E">
        <w:rPr>
          <w:rFonts w:ascii="Times New Roman" w:eastAsia="Times New Roman" w:hAnsi="Times New Roman" w:cs="Times New Roman"/>
          <w:bCs/>
          <w:sz w:val="20"/>
          <w:szCs w:val="20"/>
          <w:lang w:val="en-US"/>
        </w:rPr>
        <w:t xml:space="preserve">In addition, </w:t>
      </w:r>
      <w:r w:rsidR="00884E57" w:rsidRPr="0035095E">
        <w:rPr>
          <w:rStyle w:val="standard-view-style"/>
          <w:rFonts w:ascii="Times New Roman" w:hAnsi="Times New Roman" w:cs="Times New Roman"/>
          <w:sz w:val="20"/>
          <w:szCs w:val="20"/>
          <w:lang w:val="en-US"/>
        </w:rPr>
        <w:t xml:space="preserve">Chardon, Lee, De Zwaan and Liu </w:t>
      </w:r>
      <w:r w:rsidR="00884E57" w:rsidRPr="0035095E">
        <w:rPr>
          <w:rFonts w:ascii="Times New Roman" w:eastAsia="Times New Roman" w:hAnsi="Times New Roman" w:cs="Times New Roman"/>
          <w:sz w:val="20"/>
          <w:szCs w:val="20"/>
          <w:lang w:val="en-US"/>
        </w:rPr>
        <w:t xml:space="preserve">(2016) find that the relation between </w:t>
      </w:r>
      <w:r w:rsidR="0061249D" w:rsidRPr="0035095E">
        <w:rPr>
          <w:rFonts w:ascii="Times New Roman" w:eastAsia="Times New Roman" w:hAnsi="Times New Roman" w:cs="Times New Roman"/>
          <w:sz w:val="20"/>
          <w:szCs w:val="20"/>
          <w:lang w:val="en-US"/>
        </w:rPr>
        <w:t xml:space="preserve">university students’ </w:t>
      </w:r>
      <w:r w:rsidR="00884E57" w:rsidRPr="0035095E">
        <w:rPr>
          <w:rFonts w:ascii="Times New Roman" w:eastAsia="Times New Roman" w:hAnsi="Times New Roman" w:cs="Times New Roman"/>
          <w:sz w:val="20"/>
          <w:szCs w:val="20"/>
          <w:lang w:val="en-US"/>
        </w:rPr>
        <w:t xml:space="preserve">work experience and tax literacy is mixed. Their findings add to the long contradictive conclusions in the </w:t>
      </w:r>
      <w:r w:rsidR="00721A2B" w:rsidRPr="0035095E">
        <w:rPr>
          <w:rFonts w:ascii="Times New Roman" w:eastAsia="Times New Roman" w:hAnsi="Times New Roman" w:cs="Times New Roman"/>
          <w:sz w:val="20"/>
          <w:szCs w:val="20"/>
          <w:lang w:val="en-US"/>
        </w:rPr>
        <w:t xml:space="preserve">education </w:t>
      </w:r>
      <w:r w:rsidR="00884E57" w:rsidRPr="0035095E">
        <w:rPr>
          <w:rFonts w:ascii="Times New Roman" w:eastAsia="Times New Roman" w:hAnsi="Times New Roman" w:cs="Times New Roman"/>
          <w:sz w:val="20"/>
          <w:szCs w:val="20"/>
          <w:lang w:val="en-US"/>
        </w:rPr>
        <w:t>literature</w:t>
      </w:r>
      <w:r w:rsidR="00CB643E" w:rsidRPr="0035095E">
        <w:rPr>
          <w:rFonts w:ascii="Times New Roman" w:eastAsia="Times New Roman" w:hAnsi="Times New Roman" w:cs="Times New Roman"/>
          <w:sz w:val="20"/>
          <w:szCs w:val="20"/>
          <w:lang w:val="en-US"/>
        </w:rPr>
        <w:t>:</w:t>
      </w:r>
      <w:r w:rsidR="00884E57" w:rsidRPr="0035095E">
        <w:rPr>
          <w:rFonts w:ascii="Times New Roman" w:eastAsia="Times New Roman" w:hAnsi="Times New Roman" w:cs="Times New Roman"/>
          <w:sz w:val="20"/>
          <w:szCs w:val="20"/>
          <w:lang w:val="en-US"/>
        </w:rPr>
        <w:t xml:space="preserve"> </w:t>
      </w:r>
      <w:r w:rsidR="00CB643E" w:rsidRPr="0035095E">
        <w:rPr>
          <w:rFonts w:ascii="Times New Roman" w:eastAsia="Times New Roman" w:hAnsi="Times New Roman" w:cs="Times New Roman"/>
          <w:sz w:val="20"/>
          <w:szCs w:val="20"/>
          <w:lang w:val="en-US"/>
        </w:rPr>
        <w:t>s</w:t>
      </w:r>
      <w:r w:rsidR="00721A2B" w:rsidRPr="0035095E">
        <w:rPr>
          <w:rFonts w:ascii="Times New Roman" w:eastAsia="Times New Roman" w:hAnsi="Times New Roman" w:cs="Times New Roman"/>
          <w:sz w:val="20"/>
          <w:szCs w:val="20"/>
          <w:lang w:val="en-US"/>
        </w:rPr>
        <w:t>ome e</w:t>
      </w:r>
      <w:r w:rsidR="0061249D" w:rsidRPr="0035095E">
        <w:rPr>
          <w:rFonts w:ascii="Times New Roman" w:eastAsia="Times New Roman" w:hAnsi="Times New Roman" w:cs="Times New Roman"/>
          <w:sz w:val="20"/>
          <w:szCs w:val="20"/>
          <w:lang w:val="en-US"/>
        </w:rPr>
        <w:t xml:space="preserve">ducation scholars have reported </w:t>
      </w:r>
      <w:r w:rsidR="00721A2B" w:rsidRPr="0035095E">
        <w:rPr>
          <w:rFonts w:ascii="Times New Roman" w:eastAsia="Times New Roman" w:hAnsi="Times New Roman" w:cs="Times New Roman"/>
          <w:sz w:val="20"/>
          <w:szCs w:val="20"/>
          <w:lang w:val="en-US"/>
        </w:rPr>
        <w:t>that working has a negative</w:t>
      </w:r>
      <w:r w:rsidR="0061249D" w:rsidRPr="0035095E">
        <w:rPr>
          <w:rFonts w:ascii="Times New Roman" w:eastAsia="Times New Roman" w:hAnsi="Times New Roman" w:cs="Times New Roman"/>
          <w:sz w:val="20"/>
          <w:szCs w:val="20"/>
          <w:lang w:val="en-US"/>
        </w:rPr>
        <w:t xml:space="preserve"> effect </w:t>
      </w:r>
      <w:r w:rsidR="00721A2B" w:rsidRPr="0035095E">
        <w:rPr>
          <w:rFonts w:ascii="Times New Roman" w:eastAsia="Times New Roman" w:hAnsi="Times New Roman" w:cs="Times New Roman"/>
          <w:sz w:val="20"/>
          <w:szCs w:val="20"/>
          <w:lang w:val="en-US"/>
        </w:rPr>
        <w:t xml:space="preserve">on </w:t>
      </w:r>
      <w:r w:rsidR="0061249D" w:rsidRPr="0035095E">
        <w:rPr>
          <w:rFonts w:ascii="Times New Roman" w:eastAsia="Times New Roman" w:hAnsi="Times New Roman" w:cs="Times New Roman"/>
          <w:sz w:val="20"/>
          <w:szCs w:val="20"/>
          <w:lang w:val="en-US"/>
        </w:rPr>
        <w:t>college students’ learning outcomes</w:t>
      </w:r>
      <w:r w:rsidR="00721A2B" w:rsidRPr="0035095E">
        <w:rPr>
          <w:rFonts w:ascii="Times New Roman" w:eastAsia="Times New Roman" w:hAnsi="Times New Roman" w:cs="Times New Roman"/>
          <w:sz w:val="20"/>
          <w:szCs w:val="20"/>
          <w:lang w:val="en-US"/>
        </w:rPr>
        <w:t xml:space="preserve"> while others find a positive effect on students’ leadership skills (see more discussions by </w:t>
      </w:r>
      <w:r w:rsidR="00721A2B" w:rsidRPr="0035095E">
        <w:rPr>
          <w:rFonts w:ascii="Times New Roman" w:hAnsi="Times New Roman" w:cs="Times New Roman"/>
          <w:color w:val="000000" w:themeColor="text1"/>
          <w:sz w:val="20"/>
          <w:szCs w:val="20"/>
          <w:shd w:val="clear" w:color="auto" w:fill="FFFFFF"/>
        </w:rPr>
        <w:t xml:space="preserve">Pascarella, Edison, Nora, Hagedorn, </w:t>
      </w:r>
      <w:proofErr w:type="spellStart"/>
      <w:r w:rsidR="00721A2B" w:rsidRPr="0035095E">
        <w:rPr>
          <w:rFonts w:ascii="Times New Roman" w:hAnsi="Times New Roman" w:cs="Times New Roman"/>
          <w:color w:val="000000" w:themeColor="text1"/>
          <w:sz w:val="20"/>
          <w:szCs w:val="20"/>
          <w:shd w:val="clear" w:color="auto" w:fill="FFFFFF"/>
        </w:rPr>
        <w:t>Terenzini</w:t>
      </w:r>
      <w:proofErr w:type="spellEnd"/>
      <w:r w:rsidR="00721A2B" w:rsidRPr="0035095E">
        <w:rPr>
          <w:rFonts w:ascii="Times New Roman" w:hAnsi="Times New Roman" w:cs="Times New Roman"/>
          <w:color w:val="000000" w:themeColor="text1"/>
          <w:sz w:val="20"/>
          <w:szCs w:val="20"/>
          <w:shd w:val="clear" w:color="auto" w:fill="FFFFFF"/>
        </w:rPr>
        <w:t xml:space="preserve">, 1998 and Salisbury, </w:t>
      </w:r>
      <w:r w:rsidR="00721A2B" w:rsidRPr="0035095E">
        <w:rPr>
          <w:rFonts w:ascii="Times New Roman" w:hAnsi="Times New Roman" w:cs="Times New Roman"/>
          <w:color w:val="000000" w:themeColor="text1"/>
          <w:sz w:val="20"/>
          <w:szCs w:val="20"/>
          <w:shd w:val="clear" w:color="auto" w:fill="FFFFFF"/>
        </w:rPr>
        <w:lastRenderedPageBreak/>
        <w:t>Pascarella, Padgett, and Blaich, 2012)</w:t>
      </w:r>
      <w:r w:rsidR="0061249D" w:rsidRPr="0035095E">
        <w:rPr>
          <w:rFonts w:ascii="Times New Roman" w:eastAsia="Times New Roman" w:hAnsi="Times New Roman" w:cs="Times New Roman"/>
          <w:sz w:val="20"/>
          <w:szCs w:val="20"/>
          <w:lang w:val="en-US"/>
        </w:rPr>
        <w:t>. In sum</w:t>
      </w:r>
      <w:r w:rsidR="00D33D97" w:rsidRPr="0035095E">
        <w:rPr>
          <w:rFonts w:ascii="Times New Roman" w:eastAsia="Times New Roman" w:hAnsi="Times New Roman" w:cs="Times New Roman"/>
          <w:bCs/>
          <w:sz w:val="20"/>
          <w:szCs w:val="20"/>
          <w:lang w:val="en-US"/>
        </w:rPr>
        <w:t xml:space="preserve">, respondents’ </w:t>
      </w:r>
      <w:r w:rsidR="001C25C8" w:rsidRPr="0035095E">
        <w:rPr>
          <w:rFonts w:ascii="Times New Roman" w:eastAsia="Times New Roman" w:hAnsi="Times New Roman" w:cs="Times New Roman"/>
          <w:bCs/>
          <w:sz w:val="20"/>
          <w:szCs w:val="20"/>
          <w:lang w:val="en-US"/>
        </w:rPr>
        <w:t xml:space="preserve">financial and tax filing </w:t>
      </w:r>
      <w:r w:rsidR="00D33D97" w:rsidRPr="0035095E">
        <w:rPr>
          <w:rFonts w:ascii="Times New Roman" w:eastAsia="Times New Roman" w:hAnsi="Times New Roman" w:cs="Times New Roman"/>
          <w:bCs/>
          <w:sz w:val="20"/>
          <w:szCs w:val="20"/>
          <w:lang w:val="en-US"/>
        </w:rPr>
        <w:t>experiences outside of formal education may also have an impact on their tax literacy.</w:t>
      </w:r>
      <w:r w:rsidR="0035095E">
        <w:rPr>
          <w:rFonts w:ascii="Times New Roman" w:eastAsia="Times New Roman" w:hAnsi="Times New Roman" w:cs="Times New Roman"/>
          <w:bCs/>
          <w:sz w:val="20"/>
          <w:szCs w:val="20"/>
          <w:lang w:val="en-US"/>
        </w:rPr>
        <w:t xml:space="preserve">  </w:t>
      </w:r>
    </w:p>
    <w:p w14:paraId="49591130" w14:textId="77777777" w:rsidR="0035095E" w:rsidRPr="0035095E" w:rsidRDefault="0035095E" w:rsidP="00C45D4F">
      <w:pPr>
        <w:rPr>
          <w:rFonts w:ascii="Times New Roman" w:eastAsia="Times New Roman" w:hAnsi="Times New Roman" w:cs="Times New Roman"/>
          <w:bCs/>
          <w:sz w:val="20"/>
          <w:szCs w:val="20"/>
          <w:lang w:val="en-US"/>
        </w:rPr>
      </w:pPr>
    </w:p>
    <w:p w14:paraId="1C9E1C61" w14:textId="3ED27064" w:rsidR="0035095E" w:rsidRDefault="00E4438D" w:rsidP="00C45D4F">
      <w:pPr>
        <w:rPr>
          <w:rFonts w:ascii="Times New Roman" w:eastAsia="Times New Roman" w:hAnsi="Times New Roman" w:cs="Times New Roman"/>
          <w:bCs/>
          <w:sz w:val="20"/>
          <w:szCs w:val="20"/>
          <w:lang w:val="en-US"/>
        </w:rPr>
      </w:pPr>
      <w:r w:rsidRPr="0035095E">
        <w:rPr>
          <w:rFonts w:ascii="Times New Roman" w:eastAsia="Times New Roman" w:hAnsi="Times New Roman" w:cs="Times New Roman"/>
          <w:bCs/>
          <w:sz w:val="20"/>
          <w:szCs w:val="20"/>
          <w:lang w:val="en-US"/>
        </w:rPr>
        <w:t>Our first hypothesis tests whether tax literacy is positively associated with accounting and tax education in young adults after controlling for various socio-economic factors. It is stated as follows:</w:t>
      </w:r>
      <w:r w:rsidR="0035095E">
        <w:rPr>
          <w:rFonts w:ascii="Times New Roman" w:eastAsia="Times New Roman" w:hAnsi="Times New Roman" w:cs="Times New Roman"/>
          <w:bCs/>
          <w:sz w:val="20"/>
          <w:szCs w:val="20"/>
          <w:lang w:val="en-US"/>
        </w:rPr>
        <w:t xml:space="preserve">  </w:t>
      </w:r>
    </w:p>
    <w:p w14:paraId="2AD0D1F7" w14:textId="77777777" w:rsidR="00C45D4F" w:rsidRDefault="00C45D4F" w:rsidP="00C45D4F">
      <w:pPr>
        <w:rPr>
          <w:rFonts w:ascii="Times New Roman" w:eastAsia="Times New Roman" w:hAnsi="Times New Roman" w:cs="Times New Roman"/>
          <w:bCs/>
          <w:sz w:val="20"/>
          <w:szCs w:val="20"/>
          <w:lang w:val="en-US"/>
        </w:rPr>
      </w:pPr>
    </w:p>
    <w:p w14:paraId="6A030733" w14:textId="516B78C7" w:rsidR="00E4438D" w:rsidRPr="0035095E" w:rsidRDefault="00E4438D" w:rsidP="00C45D4F">
      <w:pPr>
        <w:rPr>
          <w:rFonts w:ascii="Times New Roman" w:eastAsia="Times New Roman" w:hAnsi="Times New Roman" w:cs="Times New Roman"/>
          <w:sz w:val="20"/>
          <w:szCs w:val="20"/>
          <w:lang w:val="en-US"/>
        </w:rPr>
      </w:pPr>
      <w:r w:rsidRPr="0035095E">
        <w:rPr>
          <w:rFonts w:ascii="Times New Roman" w:eastAsia="Times New Roman" w:hAnsi="Times New Roman" w:cs="Times New Roman"/>
          <w:b/>
          <w:sz w:val="20"/>
          <w:szCs w:val="20"/>
          <w:lang w:val="en-US"/>
        </w:rPr>
        <w:t>H1:</w:t>
      </w:r>
      <w:r w:rsidRPr="0035095E">
        <w:rPr>
          <w:rFonts w:ascii="Times New Roman" w:eastAsia="Times New Roman" w:hAnsi="Times New Roman" w:cs="Times New Roman"/>
          <w:sz w:val="20"/>
          <w:szCs w:val="20"/>
          <w:lang w:val="en-US"/>
        </w:rPr>
        <w:t xml:space="preserve"> Tax literacy is positively associated with tax and accounting education, after controlling for financial literacy and various socio-economic factors.</w:t>
      </w:r>
      <w:r w:rsidR="0035095E">
        <w:rPr>
          <w:rFonts w:ascii="Times New Roman" w:eastAsia="Times New Roman" w:hAnsi="Times New Roman" w:cs="Times New Roman"/>
          <w:sz w:val="20"/>
          <w:szCs w:val="20"/>
          <w:lang w:val="en-US"/>
        </w:rPr>
        <w:t xml:space="preserve">  </w:t>
      </w:r>
    </w:p>
    <w:p w14:paraId="7B1EDDD2" w14:textId="77777777" w:rsidR="00CF7389" w:rsidRPr="0035095E" w:rsidRDefault="00CF7389" w:rsidP="00C45D4F">
      <w:pPr>
        <w:rPr>
          <w:rFonts w:ascii="Times New Roman" w:eastAsia="Times New Roman" w:hAnsi="Times New Roman" w:cs="Times New Roman"/>
          <w:sz w:val="20"/>
          <w:szCs w:val="20"/>
          <w:lang w:val="en-US"/>
        </w:rPr>
      </w:pPr>
    </w:p>
    <w:p w14:paraId="4DAEA31C" w14:textId="66AE5BE2" w:rsidR="00E8607C" w:rsidRDefault="006B1804" w:rsidP="00C45D4F">
      <w:pPr>
        <w:rPr>
          <w:rFonts w:ascii="Times New Roman" w:eastAsia="Times New Roman" w:hAnsi="Times New Roman" w:cs="Times New Roman"/>
          <w:sz w:val="20"/>
          <w:szCs w:val="20"/>
          <w:lang w:val="en-US"/>
        </w:rPr>
      </w:pPr>
      <w:r w:rsidRPr="0035095E">
        <w:rPr>
          <w:rFonts w:ascii="Times New Roman" w:eastAsia="Times New Roman" w:hAnsi="Times New Roman" w:cs="Times New Roman"/>
          <w:sz w:val="20"/>
          <w:szCs w:val="20"/>
          <w:lang w:val="en-US"/>
        </w:rPr>
        <w:t>While actual financial knowledge is important in facilitating financial decisions, perceived financial knowledge is equally important in driving the decision</w:t>
      </w:r>
      <w:r w:rsidR="005F59F3" w:rsidRPr="0035095E">
        <w:rPr>
          <w:rFonts w:ascii="Times New Roman" w:eastAsia="Times New Roman" w:hAnsi="Times New Roman" w:cs="Times New Roman"/>
          <w:sz w:val="20"/>
          <w:szCs w:val="20"/>
          <w:lang w:val="en-US"/>
        </w:rPr>
        <w:t>-</w:t>
      </w:r>
      <w:r w:rsidRPr="0035095E">
        <w:rPr>
          <w:rFonts w:ascii="Times New Roman" w:eastAsia="Times New Roman" w:hAnsi="Times New Roman" w:cs="Times New Roman"/>
          <w:sz w:val="20"/>
          <w:szCs w:val="20"/>
          <w:lang w:val="en-US"/>
        </w:rPr>
        <w:t>making process. Atlas</w:t>
      </w:r>
      <w:r w:rsidR="00312C57" w:rsidRPr="0035095E">
        <w:rPr>
          <w:rFonts w:ascii="Times New Roman" w:eastAsia="Times New Roman" w:hAnsi="Times New Roman" w:cs="Times New Roman"/>
          <w:sz w:val="20"/>
          <w:szCs w:val="20"/>
          <w:lang w:val="en-US"/>
        </w:rPr>
        <w:t xml:space="preserve"> et al.</w:t>
      </w:r>
      <w:r w:rsidRPr="0035095E">
        <w:rPr>
          <w:rFonts w:ascii="Times New Roman" w:eastAsia="Times New Roman" w:hAnsi="Times New Roman" w:cs="Times New Roman"/>
          <w:sz w:val="20"/>
          <w:szCs w:val="20"/>
          <w:lang w:val="en-US"/>
        </w:rPr>
        <w:t xml:space="preserve"> (2013) </w:t>
      </w:r>
      <w:proofErr w:type="gramStart"/>
      <w:r w:rsidR="00F11CBD" w:rsidRPr="0035095E">
        <w:rPr>
          <w:rFonts w:ascii="Times New Roman" w:eastAsia="Times New Roman" w:hAnsi="Times New Roman" w:cs="Times New Roman"/>
          <w:sz w:val="20"/>
          <w:szCs w:val="20"/>
          <w:lang w:val="en-US"/>
        </w:rPr>
        <w:t>find</w:t>
      </w:r>
      <w:proofErr w:type="gramEnd"/>
      <w:r w:rsidR="005F59F3" w:rsidRPr="0035095E">
        <w:rPr>
          <w:rFonts w:ascii="Times New Roman" w:eastAsia="Times New Roman" w:hAnsi="Times New Roman" w:cs="Times New Roman"/>
          <w:sz w:val="20"/>
          <w:szCs w:val="20"/>
          <w:lang w:val="en-US"/>
        </w:rPr>
        <w:t xml:space="preserve"> </w:t>
      </w:r>
      <w:r w:rsidRPr="0035095E">
        <w:rPr>
          <w:rFonts w:ascii="Times New Roman" w:eastAsia="Times New Roman" w:hAnsi="Times New Roman" w:cs="Times New Roman"/>
          <w:sz w:val="20"/>
          <w:szCs w:val="20"/>
          <w:lang w:val="en-US"/>
        </w:rPr>
        <w:t xml:space="preserve">that </w:t>
      </w:r>
      <w:r w:rsidR="00996F39" w:rsidRPr="0035095E">
        <w:rPr>
          <w:rFonts w:ascii="Times New Roman" w:eastAsia="Times New Roman" w:hAnsi="Times New Roman" w:cs="Times New Roman"/>
          <w:sz w:val="20"/>
          <w:szCs w:val="20"/>
          <w:lang w:val="en-US"/>
        </w:rPr>
        <w:t xml:space="preserve">in addition to actual financial literacy, financial </w:t>
      </w:r>
      <w:r w:rsidRPr="0035095E">
        <w:rPr>
          <w:rFonts w:ascii="Times New Roman" w:eastAsia="Times New Roman" w:hAnsi="Times New Roman" w:cs="Times New Roman"/>
          <w:sz w:val="20"/>
          <w:szCs w:val="20"/>
          <w:lang w:val="en-US"/>
        </w:rPr>
        <w:t>confidence is related to the level of proper and satisfactory use of credit card</w:t>
      </w:r>
      <w:r w:rsidR="00996F39" w:rsidRPr="0035095E">
        <w:rPr>
          <w:rFonts w:ascii="Times New Roman" w:eastAsia="Times New Roman" w:hAnsi="Times New Roman" w:cs="Times New Roman"/>
          <w:sz w:val="20"/>
          <w:szCs w:val="20"/>
          <w:lang w:val="en-US"/>
        </w:rPr>
        <w:t>s</w:t>
      </w:r>
      <w:r w:rsidRPr="0035095E">
        <w:rPr>
          <w:rFonts w:ascii="Times New Roman" w:eastAsia="Times New Roman" w:hAnsi="Times New Roman" w:cs="Times New Roman"/>
          <w:sz w:val="20"/>
          <w:szCs w:val="20"/>
          <w:lang w:val="en-US"/>
        </w:rPr>
        <w:t xml:space="preserve">. </w:t>
      </w:r>
      <w:r w:rsidR="005F59F3" w:rsidRPr="0035095E">
        <w:rPr>
          <w:rFonts w:ascii="Times New Roman" w:eastAsia="Times New Roman" w:hAnsi="Times New Roman" w:cs="Times New Roman"/>
          <w:sz w:val="20"/>
          <w:szCs w:val="20"/>
          <w:lang w:val="en-US"/>
        </w:rPr>
        <w:t xml:space="preserve">Furthermore, </w:t>
      </w:r>
      <w:r w:rsidR="00AC1A1B" w:rsidRPr="0035095E">
        <w:rPr>
          <w:rFonts w:ascii="Times New Roman" w:eastAsia="Times New Roman" w:hAnsi="Times New Roman" w:cs="Times New Roman"/>
          <w:sz w:val="20"/>
          <w:szCs w:val="20"/>
          <w:lang w:val="en-US"/>
        </w:rPr>
        <w:t>Heckman</w:t>
      </w:r>
      <w:r w:rsidR="00312C57" w:rsidRPr="0035095E">
        <w:rPr>
          <w:rFonts w:ascii="Times New Roman" w:eastAsia="Times New Roman" w:hAnsi="Times New Roman" w:cs="Times New Roman"/>
          <w:sz w:val="20"/>
          <w:szCs w:val="20"/>
          <w:lang w:val="en-US"/>
        </w:rPr>
        <w:t xml:space="preserve"> et al.</w:t>
      </w:r>
      <w:r w:rsidR="00AC1A1B" w:rsidRPr="0035095E">
        <w:rPr>
          <w:rFonts w:ascii="Times New Roman" w:eastAsia="Times New Roman" w:hAnsi="Times New Roman" w:cs="Times New Roman"/>
          <w:sz w:val="20"/>
          <w:szCs w:val="20"/>
          <w:lang w:val="en-US"/>
        </w:rPr>
        <w:t xml:space="preserve"> (2014) </w:t>
      </w:r>
      <w:r w:rsidR="00F11CBD" w:rsidRPr="0035095E">
        <w:rPr>
          <w:rFonts w:ascii="Times New Roman" w:eastAsia="Times New Roman" w:hAnsi="Times New Roman" w:cs="Times New Roman"/>
          <w:sz w:val="20"/>
          <w:szCs w:val="20"/>
          <w:lang w:val="en-US"/>
        </w:rPr>
        <w:t>suggest</w:t>
      </w:r>
      <w:r w:rsidR="00AC1A1B" w:rsidRPr="0035095E">
        <w:rPr>
          <w:rFonts w:ascii="Times New Roman" w:eastAsia="Times New Roman" w:hAnsi="Times New Roman" w:cs="Times New Roman"/>
          <w:sz w:val="20"/>
          <w:szCs w:val="20"/>
          <w:lang w:val="en-US"/>
        </w:rPr>
        <w:t xml:space="preserve"> that students’ financial confidence is associated with lower financial stress. </w:t>
      </w:r>
      <w:r w:rsidR="00853DE5" w:rsidRPr="0035095E">
        <w:rPr>
          <w:rFonts w:ascii="Times New Roman" w:eastAsia="Times New Roman" w:hAnsi="Times New Roman" w:cs="Times New Roman"/>
          <w:sz w:val="20"/>
          <w:szCs w:val="20"/>
          <w:lang w:val="en-US"/>
        </w:rPr>
        <w:t xml:space="preserve">De Bassa </w:t>
      </w:r>
      <w:proofErr w:type="spellStart"/>
      <w:r w:rsidR="00853DE5" w:rsidRPr="0035095E">
        <w:rPr>
          <w:rFonts w:ascii="Times New Roman" w:eastAsia="Times New Roman" w:hAnsi="Times New Roman" w:cs="Times New Roman"/>
          <w:sz w:val="20"/>
          <w:szCs w:val="20"/>
          <w:lang w:val="en-US"/>
        </w:rPr>
        <w:t>Scheresberg</w:t>
      </w:r>
      <w:proofErr w:type="spellEnd"/>
      <w:r w:rsidR="00853DE5" w:rsidRPr="0035095E">
        <w:rPr>
          <w:rFonts w:ascii="Times New Roman" w:eastAsia="Times New Roman" w:hAnsi="Times New Roman" w:cs="Times New Roman"/>
          <w:sz w:val="20"/>
          <w:szCs w:val="20"/>
          <w:lang w:val="en-US"/>
        </w:rPr>
        <w:t xml:space="preserve"> (2013) </w:t>
      </w:r>
      <w:r w:rsidR="00F11CBD" w:rsidRPr="0035095E">
        <w:rPr>
          <w:rFonts w:ascii="Times New Roman" w:eastAsia="Times New Roman" w:hAnsi="Times New Roman" w:cs="Times New Roman"/>
          <w:sz w:val="20"/>
          <w:szCs w:val="20"/>
          <w:lang w:val="en-US"/>
        </w:rPr>
        <w:t>find</w:t>
      </w:r>
      <w:r w:rsidR="00C916C0" w:rsidRPr="0035095E">
        <w:rPr>
          <w:rFonts w:ascii="Times New Roman" w:eastAsia="Times New Roman" w:hAnsi="Times New Roman" w:cs="Times New Roman"/>
          <w:sz w:val="20"/>
          <w:szCs w:val="20"/>
          <w:lang w:val="en-US"/>
        </w:rPr>
        <w:t>s</w:t>
      </w:r>
      <w:r w:rsidR="00CF209D" w:rsidRPr="0035095E">
        <w:rPr>
          <w:rFonts w:ascii="Times New Roman" w:eastAsia="Times New Roman" w:hAnsi="Times New Roman" w:cs="Times New Roman"/>
          <w:sz w:val="20"/>
          <w:szCs w:val="20"/>
          <w:lang w:val="en-US"/>
        </w:rPr>
        <w:t xml:space="preserve"> </w:t>
      </w:r>
      <w:r w:rsidR="00853DE5" w:rsidRPr="0035095E">
        <w:rPr>
          <w:rFonts w:ascii="Times New Roman" w:eastAsia="Times New Roman" w:hAnsi="Times New Roman" w:cs="Times New Roman"/>
          <w:sz w:val="20"/>
          <w:szCs w:val="20"/>
          <w:lang w:val="en-US"/>
        </w:rPr>
        <w:t xml:space="preserve">that college students who consider themselves </w:t>
      </w:r>
      <w:r w:rsidR="00CF209D" w:rsidRPr="0035095E">
        <w:rPr>
          <w:rFonts w:ascii="Times New Roman" w:eastAsia="Times New Roman" w:hAnsi="Times New Roman" w:cs="Times New Roman"/>
          <w:sz w:val="20"/>
          <w:szCs w:val="20"/>
          <w:lang w:val="en-US"/>
        </w:rPr>
        <w:t xml:space="preserve">to perform well </w:t>
      </w:r>
      <w:r w:rsidR="00853DE5" w:rsidRPr="0035095E">
        <w:rPr>
          <w:rFonts w:ascii="Times New Roman" w:eastAsia="Times New Roman" w:hAnsi="Times New Roman" w:cs="Times New Roman"/>
          <w:sz w:val="20"/>
          <w:szCs w:val="20"/>
          <w:lang w:val="en-US"/>
        </w:rPr>
        <w:t xml:space="preserve">at math are more confident in their financial knowledge. </w:t>
      </w:r>
      <w:r w:rsidR="00931629" w:rsidRPr="0035095E">
        <w:rPr>
          <w:rFonts w:ascii="Times New Roman" w:eastAsia="Times New Roman" w:hAnsi="Times New Roman" w:cs="Times New Roman"/>
          <w:sz w:val="20"/>
          <w:szCs w:val="20"/>
          <w:lang w:val="en-US"/>
        </w:rPr>
        <w:t xml:space="preserve">He </w:t>
      </w:r>
      <w:r w:rsidR="0030034B" w:rsidRPr="0035095E">
        <w:rPr>
          <w:rFonts w:ascii="Times New Roman" w:eastAsia="Times New Roman" w:hAnsi="Times New Roman" w:cs="Times New Roman"/>
          <w:sz w:val="20"/>
          <w:szCs w:val="20"/>
          <w:lang w:val="en-US"/>
        </w:rPr>
        <w:t>also document</w:t>
      </w:r>
      <w:r w:rsidR="00B5636D" w:rsidRPr="0035095E">
        <w:rPr>
          <w:rFonts w:ascii="Times New Roman" w:eastAsia="Times New Roman" w:hAnsi="Times New Roman" w:cs="Times New Roman"/>
          <w:sz w:val="20"/>
          <w:szCs w:val="20"/>
          <w:lang w:val="en-US"/>
        </w:rPr>
        <w:t>s</w:t>
      </w:r>
      <w:r w:rsidR="00931629" w:rsidRPr="0035095E">
        <w:rPr>
          <w:rFonts w:ascii="Times New Roman" w:eastAsia="Times New Roman" w:hAnsi="Times New Roman" w:cs="Times New Roman"/>
          <w:sz w:val="20"/>
          <w:szCs w:val="20"/>
          <w:lang w:val="en-US"/>
        </w:rPr>
        <w:t xml:space="preserve"> that female</w:t>
      </w:r>
      <w:r w:rsidR="00B5420A" w:rsidRPr="0035095E">
        <w:rPr>
          <w:rFonts w:ascii="Times New Roman" w:eastAsia="Times New Roman" w:hAnsi="Times New Roman" w:cs="Times New Roman"/>
          <w:sz w:val="20"/>
          <w:szCs w:val="20"/>
          <w:lang w:val="en-US"/>
        </w:rPr>
        <w:t xml:space="preserve"> students</w:t>
      </w:r>
      <w:r w:rsidR="00931629" w:rsidRPr="0035095E">
        <w:rPr>
          <w:rFonts w:ascii="Times New Roman" w:eastAsia="Times New Roman" w:hAnsi="Times New Roman" w:cs="Times New Roman"/>
          <w:sz w:val="20"/>
          <w:szCs w:val="20"/>
          <w:lang w:val="en-US"/>
        </w:rPr>
        <w:t>, married students</w:t>
      </w:r>
      <w:r w:rsidR="003751AD" w:rsidRPr="0035095E">
        <w:rPr>
          <w:rFonts w:ascii="Times New Roman" w:eastAsia="Times New Roman" w:hAnsi="Times New Roman" w:cs="Times New Roman"/>
          <w:sz w:val="20"/>
          <w:szCs w:val="20"/>
          <w:lang w:val="en-US"/>
        </w:rPr>
        <w:t>,</w:t>
      </w:r>
      <w:r w:rsidR="00931629" w:rsidRPr="0035095E">
        <w:rPr>
          <w:rFonts w:ascii="Times New Roman" w:eastAsia="Times New Roman" w:hAnsi="Times New Roman" w:cs="Times New Roman"/>
          <w:sz w:val="20"/>
          <w:szCs w:val="20"/>
          <w:lang w:val="en-US"/>
        </w:rPr>
        <w:t xml:space="preserve"> and students with lower income</w:t>
      </w:r>
      <w:r w:rsidR="00C916C0" w:rsidRPr="0035095E">
        <w:rPr>
          <w:rFonts w:ascii="Times New Roman" w:eastAsia="Times New Roman" w:hAnsi="Times New Roman" w:cs="Times New Roman"/>
          <w:sz w:val="20"/>
          <w:szCs w:val="20"/>
          <w:lang w:val="en-US"/>
        </w:rPr>
        <w:t>s</w:t>
      </w:r>
      <w:r w:rsidR="00931629" w:rsidRPr="0035095E">
        <w:rPr>
          <w:rFonts w:ascii="Times New Roman" w:eastAsia="Times New Roman" w:hAnsi="Times New Roman" w:cs="Times New Roman"/>
          <w:sz w:val="20"/>
          <w:szCs w:val="20"/>
          <w:lang w:val="en-US"/>
        </w:rPr>
        <w:t xml:space="preserve"> tend to have low</w:t>
      </w:r>
      <w:r w:rsidR="0030034B" w:rsidRPr="0035095E">
        <w:rPr>
          <w:rFonts w:ascii="Times New Roman" w:eastAsia="Times New Roman" w:hAnsi="Times New Roman" w:cs="Times New Roman"/>
          <w:sz w:val="20"/>
          <w:szCs w:val="20"/>
          <w:lang w:val="en-US"/>
        </w:rPr>
        <w:t>er</w:t>
      </w:r>
      <w:r w:rsidR="00931629" w:rsidRPr="0035095E">
        <w:rPr>
          <w:rFonts w:ascii="Times New Roman" w:eastAsia="Times New Roman" w:hAnsi="Times New Roman" w:cs="Times New Roman"/>
          <w:sz w:val="20"/>
          <w:szCs w:val="20"/>
          <w:lang w:val="en-US"/>
        </w:rPr>
        <w:t xml:space="preserve"> financial confidence. </w:t>
      </w:r>
      <w:r w:rsidR="00CF209D" w:rsidRPr="0035095E">
        <w:rPr>
          <w:rFonts w:ascii="Times New Roman" w:eastAsia="Times New Roman" w:hAnsi="Times New Roman" w:cs="Times New Roman"/>
          <w:sz w:val="20"/>
          <w:szCs w:val="20"/>
          <w:lang w:val="en-US"/>
        </w:rPr>
        <w:t xml:space="preserve">In addition, </w:t>
      </w:r>
      <w:r w:rsidR="00931629" w:rsidRPr="0035095E">
        <w:rPr>
          <w:rFonts w:ascii="Times New Roman" w:eastAsia="Times New Roman" w:hAnsi="Times New Roman" w:cs="Times New Roman"/>
          <w:sz w:val="20"/>
          <w:szCs w:val="20"/>
          <w:lang w:val="en-US"/>
        </w:rPr>
        <w:t xml:space="preserve">Jacobsen and Correia (2019) </w:t>
      </w:r>
      <w:r w:rsidR="00F11CBD" w:rsidRPr="0035095E">
        <w:rPr>
          <w:rFonts w:ascii="Times New Roman" w:eastAsia="Times New Roman" w:hAnsi="Times New Roman" w:cs="Times New Roman"/>
          <w:sz w:val="20"/>
          <w:szCs w:val="20"/>
          <w:lang w:val="en-US"/>
        </w:rPr>
        <w:t>find</w:t>
      </w:r>
      <w:r w:rsidR="00CF209D" w:rsidRPr="0035095E">
        <w:rPr>
          <w:rFonts w:ascii="Times New Roman" w:eastAsia="Times New Roman" w:hAnsi="Times New Roman" w:cs="Times New Roman"/>
          <w:sz w:val="20"/>
          <w:szCs w:val="20"/>
          <w:lang w:val="en-US"/>
        </w:rPr>
        <w:t xml:space="preserve"> </w:t>
      </w:r>
      <w:r w:rsidR="00931629" w:rsidRPr="0035095E">
        <w:rPr>
          <w:rFonts w:ascii="Times New Roman" w:eastAsia="Times New Roman" w:hAnsi="Times New Roman" w:cs="Times New Roman"/>
          <w:sz w:val="20"/>
          <w:szCs w:val="20"/>
          <w:lang w:val="en-US"/>
        </w:rPr>
        <w:t xml:space="preserve">that students with </w:t>
      </w:r>
      <w:r w:rsidR="00350B0A" w:rsidRPr="0035095E">
        <w:rPr>
          <w:rFonts w:ascii="Times New Roman" w:eastAsia="Times New Roman" w:hAnsi="Times New Roman" w:cs="Times New Roman"/>
          <w:sz w:val="20"/>
          <w:szCs w:val="20"/>
          <w:lang w:val="en-US"/>
        </w:rPr>
        <w:t xml:space="preserve">more </w:t>
      </w:r>
      <w:r w:rsidR="00931629" w:rsidRPr="0035095E">
        <w:rPr>
          <w:rFonts w:ascii="Times New Roman" w:eastAsia="Times New Roman" w:hAnsi="Times New Roman" w:cs="Times New Roman"/>
          <w:sz w:val="20"/>
          <w:szCs w:val="20"/>
          <w:lang w:val="en-US"/>
        </w:rPr>
        <w:t xml:space="preserve">financial confidence </w:t>
      </w:r>
      <w:r w:rsidR="0030034B" w:rsidRPr="0035095E">
        <w:rPr>
          <w:rFonts w:ascii="Times New Roman" w:eastAsia="Times New Roman" w:hAnsi="Times New Roman" w:cs="Times New Roman"/>
          <w:sz w:val="20"/>
          <w:szCs w:val="20"/>
          <w:lang w:val="en-US"/>
        </w:rPr>
        <w:t xml:space="preserve">perform </w:t>
      </w:r>
      <w:r w:rsidR="00931629" w:rsidRPr="0035095E">
        <w:rPr>
          <w:rFonts w:ascii="Times New Roman" w:eastAsia="Times New Roman" w:hAnsi="Times New Roman" w:cs="Times New Roman"/>
          <w:sz w:val="20"/>
          <w:szCs w:val="20"/>
          <w:lang w:val="en-US"/>
        </w:rPr>
        <w:t xml:space="preserve">better </w:t>
      </w:r>
      <w:r w:rsidR="00EE0E56" w:rsidRPr="0035095E">
        <w:rPr>
          <w:rFonts w:ascii="Times New Roman" w:eastAsia="Times New Roman" w:hAnsi="Times New Roman" w:cs="Times New Roman"/>
          <w:sz w:val="20"/>
          <w:szCs w:val="20"/>
          <w:lang w:val="en-US"/>
        </w:rPr>
        <w:t>o</w:t>
      </w:r>
      <w:r w:rsidR="00931629" w:rsidRPr="0035095E">
        <w:rPr>
          <w:rFonts w:ascii="Times New Roman" w:eastAsia="Times New Roman" w:hAnsi="Times New Roman" w:cs="Times New Roman"/>
          <w:sz w:val="20"/>
          <w:szCs w:val="20"/>
          <w:lang w:val="en-US"/>
        </w:rPr>
        <w:t>n financial literacy tests.</w:t>
      </w:r>
      <w:r w:rsidR="0035095E">
        <w:rPr>
          <w:rFonts w:ascii="Times New Roman" w:eastAsia="Times New Roman" w:hAnsi="Times New Roman" w:cs="Times New Roman"/>
          <w:sz w:val="20"/>
          <w:szCs w:val="20"/>
          <w:lang w:val="en-US"/>
        </w:rPr>
        <w:t xml:space="preserve">  </w:t>
      </w:r>
    </w:p>
    <w:p w14:paraId="2CC09937" w14:textId="77777777" w:rsidR="0035095E" w:rsidRPr="0035095E" w:rsidRDefault="0035095E" w:rsidP="00C45D4F">
      <w:pPr>
        <w:rPr>
          <w:rFonts w:ascii="Times New Roman" w:eastAsia="Times New Roman" w:hAnsi="Times New Roman" w:cs="Times New Roman"/>
          <w:sz w:val="20"/>
          <w:szCs w:val="20"/>
          <w:lang w:val="en-US"/>
        </w:rPr>
      </w:pPr>
    </w:p>
    <w:p w14:paraId="123E82EF" w14:textId="7C542482" w:rsidR="0081082B" w:rsidRDefault="009162C0" w:rsidP="00C45D4F">
      <w:pPr>
        <w:rPr>
          <w:rFonts w:ascii="Times New Roman" w:eastAsia="Times New Roman" w:hAnsi="Times New Roman" w:cs="Times New Roman"/>
          <w:sz w:val="20"/>
          <w:szCs w:val="20"/>
          <w:lang w:val="en-US"/>
        </w:rPr>
      </w:pPr>
      <w:r w:rsidRPr="0035095E">
        <w:rPr>
          <w:rFonts w:ascii="Times New Roman" w:eastAsia="Times New Roman" w:hAnsi="Times New Roman" w:cs="Times New Roman"/>
          <w:sz w:val="20"/>
          <w:szCs w:val="20"/>
          <w:lang w:val="en-US"/>
        </w:rPr>
        <w:t xml:space="preserve">Lyon and Caitlin (2020) </w:t>
      </w:r>
      <w:r w:rsidR="00F11CBD" w:rsidRPr="0035095E">
        <w:rPr>
          <w:rFonts w:ascii="Times New Roman" w:eastAsia="Times New Roman" w:hAnsi="Times New Roman" w:cs="Times New Roman"/>
          <w:sz w:val="20"/>
          <w:szCs w:val="20"/>
          <w:lang w:val="en-US"/>
        </w:rPr>
        <w:t>find</w:t>
      </w:r>
      <w:r w:rsidR="00CF209D" w:rsidRPr="0035095E">
        <w:rPr>
          <w:rFonts w:ascii="Times New Roman" w:eastAsia="Times New Roman" w:hAnsi="Times New Roman" w:cs="Times New Roman"/>
          <w:sz w:val="20"/>
          <w:szCs w:val="20"/>
          <w:lang w:val="en-US"/>
        </w:rPr>
        <w:t xml:space="preserve"> </w:t>
      </w:r>
      <w:r w:rsidRPr="0035095E">
        <w:rPr>
          <w:rFonts w:ascii="Times New Roman" w:eastAsia="Times New Roman" w:hAnsi="Times New Roman" w:cs="Times New Roman"/>
          <w:sz w:val="20"/>
          <w:szCs w:val="20"/>
          <w:lang w:val="en-US"/>
        </w:rPr>
        <w:t xml:space="preserve">that </w:t>
      </w:r>
      <w:r w:rsidR="007E24A6" w:rsidRPr="0035095E">
        <w:rPr>
          <w:rFonts w:ascii="Times New Roman" w:eastAsia="Times New Roman" w:hAnsi="Times New Roman" w:cs="Times New Roman"/>
          <w:sz w:val="20"/>
          <w:szCs w:val="20"/>
          <w:lang w:val="en-US"/>
        </w:rPr>
        <w:t xml:space="preserve">tax confidence </w:t>
      </w:r>
      <w:r w:rsidR="00845B0A" w:rsidRPr="0035095E">
        <w:rPr>
          <w:rFonts w:ascii="Times New Roman" w:eastAsia="Times New Roman" w:hAnsi="Times New Roman" w:cs="Times New Roman"/>
          <w:sz w:val="20"/>
          <w:szCs w:val="20"/>
          <w:lang w:val="en-US"/>
        </w:rPr>
        <w:t xml:space="preserve">is </w:t>
      </w:r>
      <w:r w:rsidR="00AF3F06" w:rsidRPr="0035095E">
        <w:rPr>
          <w:rFonts w:ascii="Times New Roman" w:eastAsia="Times New Roman" w:hAnsi="Times New Roman" w:cs="Times New Roman"/>
          <w:sz w:val="20"/>
          <w:szCs w:val="20"/>
          <w:lang w:val="en-US"/>
        </w:rPr>
        <w:t>associated with gender, age,</w:t>
      </w:r>
      <w:r w:rsidRPr="0035095E">
        <w:rPr>
          <w:rFonts w:ascii="Times New Roman" w:eastAsia="Times New Roman" w:hAnsi="Times New Roman" w:cs="Times New Roman"/>
          <w:sz w:val="20"/>
          <w:szCs w:val="20"/>
          <w:lang w:val="en-US"/>
        </w:rPr>
        <w:t xml:space="preserve"> household income</w:t>
      </w:r>
      <w:r w:rsidR="00AF3F06" w:rsidRPr="0035095E">
        <w:rPr>
          <w:rFonts w:ascii="Times New Roman" w:eastAsia="Times New Roman" w:hAnsi="Times New Roman" w:cs="Times New Roman"/>
          <w:sz w:val="20"/>
          <w:szCs w:val="20"/>
          <w:lang w:val="en-US"/>
        </w:rPr>
        <w:t>, and level of education</w:t>
      </w:r>
      <w:r w:rsidRPr="0035095E">
        <w:rPr>
          <w:rFonts w:ascii="Times New Roman" w:eastAsia="Times New Roman" w:hAnsi="Times New Roman" w:cs="Times New Roman"/>
          <w:sz w:val="20"/>
          <w:szCs w:val="20"/>
          <w:lang w:val="en-US"/>
        </w:rPr>
        <w:t xml:space="preserve">. </w:t>
      </w:r>
      <w:r w:rsidR="00AF3F06" w:rsidRPr="0035095E">
        <w:rPr>
          <w:rFonts w:ascii="Times New Roman" w:eastAsia="Times New Roman" w:hAnsi="Times New Roman" w:cs="Times New Roman"/>
          <w:sz w:val="20"/>
          <w:szCs w:val="20"/>
          <w:lang w:val="en-US"/>
        </w:rPr>
        <w:t xml:space="preserve">They </w:t>
      </w:r>
      <w:r w:rsidR="00845B0A" w:rsidRPr="0035095E">
        <w:rPr>
          <w:rFonts w:ascii="Times New Roman" w:eastAsia="Times New Roman" w:hAnsi="Times New Roman" w:cs="Times New Roman"/>
          <w:sz w:val="20"/>
          <w:szCs w:val="20"/>
          <w:lang w:val="en-US"/>
        </w:rPr>
        <w:t xml:space="preserve">report </w:t>
      </w:r>
      <w:r w:rsidR="00AF3F06" w:rsidRPr="0035095E">
        <w:rPr>
          <w:rFonts w:ascii="Times New Roman" w:eastAsia="Times New Roman" w:hAnsi="Times New Roman" w:cs="Times New Roman"/>
          <w:sz w:val="20"/>
          <w:szCs w:val="20"/>
          <w:lang w:val="en-US"/>
        </w:rPr>
        <w:t xml:space="preserve">that their survey </w:t>
      </w:r>
      <w:r w:rsidR="00845B0A" w:rsidRPr="0035095E">
        <w:rPr>
          <w:rFonts w:ascii="Times New Roman" w:eastAsia="Times New Roman" w:hAnsi="Times New Roman" w:cs="Times New Roman"/>
          <w:sz w:val="20"/>
          <w:szCs w:val="20"/>
          <w:lang w:val="en-US"/>
        </w:rPr>
        <w:t xml:space="preserve">respondents </w:t>
      </w:r>
      <w:r w:rsidR="00F11CBD" w:rsidRPr="0035095E">
        <w:rPr>
          <w:rFonts w:ascii="Times New Roman" w:eastAsia="Times New Roman" w:hAnsi="Times New Roman" w:cs="Times New Roman"/>
          <w:sz w:val="20"/>
          <w:szCs w:val="20"/>
          <w:lang w:val="en-US"/>
        </w:rPr>
        <w:t>are</w:t>
      </w:r>
      <w:r w:rsidR="00FA6C07" w:rsidRPr="0035095E">
        <w:rPr>
          <w:rFonts w:ascii="Times New Roman" w:eastAsia="Times New Roman" w:hAnsi="Times New Roman" w:cs="Times New Roman"/>
          <w:sz w:val="20"/>
          <w:szCs w:val="20"/>
          <w:lang w:val="en-US"/>
        </w:rPr>
        <w:t xml:space="preserve"> </w:t>
      </w:r>
      <w:r w:rsidR="00AF3F06" w:rsidRPr="0035095E">
        <w:rPr>
          <w:rFonts w:ascii="Times New Roman" w:eastAsia="Times New Roman" w:hAnsi="Times New Roman" w:cs="Times New Roman"/>
          <w:sz w:val="20"/>
          <w:szCs w:val="20"/>
          <w:lang w:val="en-US"/>
        </w:rPr>
        <w:t>confident in their tax knowledge, with a</w:t>
      </w:r>
      <w:r w:rsidR="00A30076" w:rsidRPr="0035095E">
        <w:rPr>
          <w:rFonts w:ascii="Times New Roman" w:eastAsia="Times New Roman" w:hAnsi="Times New Roman" w:cs="Times New Roman"/>
          <w:sz w:val="20"/>
          <w:szCs w:val="20"/>
          <w:lang w:val="en-US"/>
        </w:rPr>
        <w:t>n</w:t>
      </w:r>
      <w:r w:rsidR="00AF3F06" w:rsidRPr="0035095E">
        <w:rPr>
          <w:rFonts w:ascii="Times New Roman" w:eastAsia="Times New Roman" w:hAnsi="Times New Roman" w:cs="Times New Roman"/>
          <w:sz w:val="20"/>
          <w:szCs w:val="20"/>
          <w:lang w:val="en-US"/>
        </w:rPr>
        <w:t xml:space="preserve"> average self-rated score of 4.16 out of </w:t>
      </w:r>
      <w:r w:rsidR="00CF209D" w:rsidRPr="0035095E">
        <w:rPr>
          <w:rFonts w:ascii="Times New Roman" w:eastAsia="Times New Roman" w:hAnsi="Times New Roman" w:cs="Times New Roman"/>
          <w:sz w:val="20"/>
          <w:szCs w:val="20"/>
          <w:lang w:val="en-US"/>
        </w:rPr>
        <w:t>7</w:t>
      </w:r>
      <w:r w:rsidR="00AF3F06" w:rsidRPr="0035095E">
        <w:rPr>
          <w:rFonts w:ascii="Times New Roman" w:eastAsia="Times New Roman" w:hAnsi="Times New Roman" w:cs="Times New Roman"/>
          <w:sz w:val="20"/>
          <w:szCs w:val="20"/>
          <w:lang w:val="en-US"/>
        </w:rPr>
        <w:t xml:space="preserve">, although less than half of the participants </w:t>
      </w:r>
      <w:r w:rsidR="00CF209D" w:rsidRPr="0035095E">
        <w:rPr>
          <w:rFonts w:ascii="Times New Roman" w:eastAsia="Times New Roman" w:hAnsi="Times New Roman" w:cs="Times New Roman"/>
          <w:sz w:val="20"/>
          <w:szCs w:val="20"/>
          <w:lang w:val="en-US"/>
        </w:rPr>
        <w:t>g</w:t>
      </w:r>
      <w:r w:rsidR="00F11CBD" w:rsidRPr="0035095E">
        <w:rPr>
          <w:rFonts w:ascii="Times New Roman" w:eastAsia="Times New Roman" w:hAnsi="Times New Roman" w:cs="Times New Roman"/>
          <w:sz w:val="20"/>
          <w:szCs w:val="20"/>
          <w:lang w:val="en-US"/>
        </w:rPr>
        <w:t>i</w:t>
      </w:r>
      <w:r w:rsidR="00CF209D" w:rsidRPr="0035095E">
        <w:rPr>
          <w:rFonts w:ascii="Times New Roman" w:eastAsia="Times New Roman" w:hAnsi="Times New Roman" w:cs="Times New Roman"/>
          <w:sz w:val="20"/>
          <w:szCs w:val="20"/>
          <w:lang w:val="en-US"/>
        </w:rPr>
        <w:t xml:space="preserve">ve </w:t>
      </w:r>
      <w:r w:rsidR="00AF3F06" w:rsidRPr="0035095E">
        <w:rPr>
          <w:rFonts w:ascii="Times New Roman" w:eastAsia="Times New Roman" w:hAnsi="Times New Roman" w:cs="Times New Roman"/>
          <w:sz w:val="20"/>
          <w:szCs w:val="20"/>
          <w:lang w:val="en-US"/>
        </w:rPr>
        <w:t xml:space="preserve">a self-rating </w:t>
      </w:r>
      <w:r w:rsidR="00CF209D" w:rsidRPr="0035095E">
        <w:rPr>
          <w:rFonts w:ascii="Times New Roman" w:eastAsia="Times New Roman" w:hAnsi="Times New Roman" w:cs="Times New Roman"/>
          <w:sz w:val="20"/>
          <w:szCs w:val="20"/>
          <w:lang w:val="en-US"/>
        </w:rPr>
        <w:t xml:space="preserve">on </w:t>
      </w:r>
      <w:r w:rsidR="00A36FDD" w:rsidRPr="0035095E">
        <w:rPr>
          <w:rFonts w:ascii="Times New Roman" w:eastAsia="Times New Roman" w:hAnsi="Times New Roman" w:cs="Times New Roman"/>
          <w:sz w:val="20"/>
          <w:szCs w:val="20"/>
          <w:lang w:val="en-US"/>
        </w:rPr>
        <w:t xml:space="preserve">tax knowledge </w:t>
      </w:r>
      <w:r w:rsidR="00AF3F06" w:rsidRPr="0035095E">
        <w:rPr>
          <w:rFonts w:ascii="Times New Roman" w:eastAsia="Times New Roman" w:hAnsi="Times New Roman" w:cs="Times New Roman"/>
          <w:sz w:val="20"/>
          <w:szCs w:val="20"/>
          <w:lang w:val="en-US"/>
        </w:rPr>
        <w:t xml:space="preserve">above the mid-point. </w:t>
      </w:r>
      <w:r w:rsidR="0080088C" w:rsidRPr="0035095E">
        <w:rPr>
          <w:rFonts w:ascii="Times New Roman" w:eastAsia="Times New Roman" w:hAnsi="Times New Roman" w:cs="Times New Roman"/>
          <w:sz w:val="20"/>
          <w:szCs w:val="20"/>
          <w:lang w:val="en-US"/>
        </w:rPr>
        <w:t xml:space="preserve">They also find that tax literacy is positively correlated with tax </w:t>
      </w:r>
      <w:r w:rsidR="00414A24" w:rsidRPr="0035095E">
        <w:rPr>
          <w:rFonts w:ascii="Times New Roman" w:eastAsia="Times New Roman" w:hAnsi="Times New Roman" w:cs="Times New Roman"/>
          <w:sz w:val="20"/>
          <w:szCs w:val="20"/>
          <w:lang w:val="en-US"/>
        </w:rPr>
        <w:t>confidence.</w:t>
      </w:r>
      <w:r w:rsidR="0080088C" w:rsidRPr="0035095E">
        <w:rPr>
          <w:rFonts w:ascii="Times New Roman" w:eastAsia="Times New Roman" w:hAnsi="Times New Roman" w:cs="Times New Roman"/>
          <w:sz w:val="20"/>
          <w:szCs w:val="20"/>
          <w:lang w:val="en-US"/>
        </w:rPr>
        <w:t xml:space="preserve"> </w:t>
      </w:r>
      <w:r w:rsidR="00414A24" w:rsidRPr="0035095E">
        <w:rPr>
          <w:rFonts w:ascii="Times New Roman" w:eastAsia="Times New Roman" w:hAnsi="Times New Roman" w:cs="Times New Roman"/>
          <w:sz w:val="20"/>
          <w:szCs w:val="20"/>
          <w:lang w:val="en-US"/>
        </w:rPr>
        <w:t>Similarly, t</w:t>
      </w:r>
      <w:r w:rsidRPr="0035095E">
        <w:rPr>
          <w:rFonts w:ascii="Times New Roman" w:eastAsia="Times New Roman" w:hAnsi="Times New Roman" w:cs="Times New Roman"/>
          <w:sz w:val="20"/>
          <w:szCs w:val="20"/>
          <w:lang w:val="en-US"/>
        </w:rPr>
        <w:t xml:space="preserve">he evidence from young adults in </w:t>
      </w:r>
      <w:r w:rsidR="00996F39" w:rsidRPr="0035095E">
        <w:rPr>
          <w:rFonts w:ascii="Times New Roman" w:eastAsia="Times New Roman" w:hAnsi="Times New Roman" w:cs="Times New Roman"/>
          <w:sz w:val="20"/>
          <w:szCs w:val="20"/>
          <w:lang w:val="en-US"/>
        </w:rPr>
        <w:t>Australia</w:t>
      </w:r>
      <w:r w:rsidRPr="0035095E">
        <w:rPr>
          <w:rFonts w:ascii="Times New Roman" w:eastAsia="Times New Roman" w:hAnsi="Times New Roman" w:cs="Times New Roman"/>
          <w:sz w:val="20"/>
          <w:szCs w:val="20"/>
          <w:lang w:val="en-US"/>
        </w:rPr>
        <w:t xml:space="preserve"> </w:t>
      </w:r>
      <w:r w:rsidR="00845B0A" w:rsidRPr="0035095E">
        <w:rPr>
          <w:rFonts w:ascii="Times New Roman" w:eastAsia="Times New Roman" w:hAnsi="Times New Roman" w:cs="Times New Roman"/>
          <w:sz w:val="20"/>
          <w:szCs w:val="20"/>
          <w:lang w:val="en-US"/>
        </w:rPr>
        <w:t xml:space="preserve">suggests </w:t>
      </w:r>
      <w:r w:rsidR="00A30076" w:rsidRPr="0035095E">
        <w:rPr>
          <w:rFonts w:ascii="Times New Roman" w:eastAsia="Times New Roman" w:hAnsi="Times New Roman" w:cs="Times New Roman"/>
          <w:sz w:val="20"/>
          <w:szCs w:val="20"/>
          <w:lang w:val="en-US"/>
        </w:rPr>
        <w:t>that</w:t>
      </w:r>
      <w:r w:rsidR="00F95DE5" w:rsidRPr="0035095E">
        <w:rPr>
          <w:rFonts w:ascii="Times New Roman" w:eastAsia="Times New Roman" w:hAnsi="Times New Roman" w:cs="Times New Roman"/>
          <w:sz w:val="20"/>
          <w:szCs w:val="20"/>
          <w:lang w:val="en-US"/>
        </w:rPr>
        <w:t xml:space="preserve"> </w:t>
      </w:r>
      <w:r w:rsidR="00A30076" w:rsidRPr="0035095E">
        <w:rPr>
          <w:rFonts w:ascii="Times New Roman" w:eastAsia="Times New Roman" w:hAnsi="Times New Roman" w:cs="Times New Roman"/>
          <w:sz w:val="20"/>
          <w:szCs w:val="20"/>
          <w:lang w:val="en-US"/>
        </w:rPr>
        <w:t xml:space="preserve">the level of tax confidence </w:t>
      </w:r>
      <w:r w:rsidR="00845B0A" w:rsidRPr="0035095E">
        <w:rPr>
          <w:rFonts w:ascii="Times New Roman" w:eastAsia="Times New Roman" w:hAnsi="Times New Roman" w:cs="Times New Roman"/>
          <w:sz w:val="20"/>
          <w:szCs w:val="20"/>
          <w:lang w:val="en-US"/>
        </w:rPr>
        <w:t xml:space="preserve">is </w:t>
      </w:r>
      <w:r w:rsidR="00A93069" w:rsidRPr="0035095E">
        <w:rPr>
          <w:rFonts w:ascii="Times New Roman" w:eastAsia="Times New Roman" w:hAnsi="Times New Roman" w:cs="Times New Roman"/>
          <w:sz w:val="20"/>
          <w:szCs w:val="20"/>
          <w:lang w:val="en-US"/>
        </w:rPr>
        <w:t>related to gender and employment status</w:t>
      </w:r>
      <w:r w:rsidRPr="0035095E">
        <w:rPr>
          <w:rFonts w:ascii="Times New Roman" w:eastAsia="Times New Roman" w:hAnsi="Times New Roman" w:cs="Times New Roman"/>
          <w:sz w:val="20"/>
          <w:szCs w:val="20"/>
          <w:lang w:val="en-US"/>
        </w:rPr>
        <w:t xml:space="preserve"> (</w:t>
      </w:r>
      <w:r w:rsidR="004268CD" w:rsidRPr="0035095E">
        <w:rPr>
          <w:rStyle w:val="standard-view-style"/>
          <w:rFonts w:ascii="Times New Roman" w:hAnsi="Times New Roman" w:cs="Times New Roman"/>
          <w:sz w:val="20"/>
          <w:szCs w:val="20"/>
          <w:lang w:val="en-US"/>
        </w:rPr>
        <w:t xml:space="preserve">Chardon, Lee, De Zwaan and Liu, </w:t>
      </w:r>
      <w:r w:rsidRPr="0035095E">
        <w:rPr>
          <w:rFonts w:ascii="Times New Roman" w:eastAsia="Times New Roman" w:hAnsi="Times New Roman" w:cs="Times New Roman"/>
          <w:sz w:val="20"/>
          <w:szCs w:val="20"/>
          <w:lang w:val="en-US"/>
        </w:rPr>
        <w:t>2016)</w:t>
      </w:r>
      <w:r w:rsidR="00A93069" w:rsidRPr="0035095E">
        <w:rPr>
          <w:rFonts w:ascii="Times New Roman" w:eastAsia="Times New Roman" w:hAnsi="Times New Roman" w:cs="Times New Roman"/>
          <w:sz w:val="20"/>
          <w:szCs w:val="20"/>
          <w:lang w:val="en-US"/>
        </w:rPr>
        <w:t xml:space="preserve">. </w:t>
      </w:r>
      <w:r w:rsidRPr="0035095E">
        <w:rPr>
          <w:rFonts w:ascii="Times New Roman" w:eastAsia="Times New Roman" w:hAnsi="Times New Roman" w:cs="Times New Roman"/>
          <w:sz w:val="20"/>
          <w:szCs w:val="20"/>
          <w:lang w:val="en-US"/>
        </w:rPr>
        <w:t>Moreover</w:t>
      </w:r>
      <w:r w:rsidR="00A93069" w:rsidRPr="0035095E">
        <w:rPr>
          <w:rFonts w:ascii="Times New Roman" w:eastAsia="Times New Roman" w:hAnsi="Times New Roman" w:cs="Times New Roman"/>
          <w:sz w:val="20"/>
          <w:szCs w:val="20"/>
          <w:lang w:val="en-US"/>
        </w:rPr>
        <w:t xml:space="preserve">, </w:t>
      </w:r>
      <w:r w:rsidR="004268CD" w:rsidRPr="0035095E">
        <w:rPr>
          <w:rFonts w:ascii="Times New Roman" w:eastAsia="Times New Roman" w:hAnsi="Times New Roman" w:cs="Times New Roman"/>
          <w:sz w:val="20"/>
          <w:szCs w:val="20"/>
          <w:lang w:val="en-US"/>
        </w:rPr>
        <w:t>the</w:t>
      </w:r>
      <w:r w:rsidR="007B5E6F" w:rsidRPr="0035095E">
        <w:rPr>
          <w:rFonts w:ascii="Times New Roman" w:eastAsia="Times New Roman" w:hAnsi="Times New Roman" w:cs="Times New Roman"/>
          <w:sz w:val="20"/>
          <w:szCs w:val="20"/>
          <w:lang w:val="en-US"/>
        </w:rPr>
        <w:t xml:space="preserve"> Australian study</w:t>
      </w:r>
      <w:r w:rsidR="00A93069" w:rsidRPr="0035095E">
        <w:rPr>
          <w:rFonts w:ascii="Times New Roman" w:eastAsia="Times New Roman" w:hAnsi="Times New Roman" w:cs="Times New Roman"/>
          <w:sz w:val="20"/>
          <w:szCs w:val="20"/>
          <w:lang w:val="en-US"/>
        </w:rPr>
        <w:t xml:space="preserve"> </w:t>
      </w:r>
      <w:r w:rsidR="00F11CBD" w:rsidRPr="0035095E">
        <w:rPr>
          <w:rFonts w:ascii="Times New Roman" w:eastAsia="Times New Roman" w:hAnsi="Times New Roman" w:cs="Times New Roman"/>
          <w:sz w:val="20"/>
          <w:szCs w:val="20"/>
          <w:lang w:val="en-US"/>
        </w:rPr>
        <w:t>find</w:t>
      </w:r>
      <w:r w:rsidR="007B5E6F" w:rsidRPr="0035095E">
        <w:rPr>
          <w:rFonts w:ascii="Times New Roman" w:eastAsia="Times New Roman" w:hAnsi="Times New Roman" w:cs="Times New Roman"/>
          <w:sz w:val="20"/>
          <w:szCs w:val="20"/>
          <w:lang w:val="en-US"/>
        </w:rPr>
        <w:t>s</w:t>
      </w:r>
      <w:r w:rsidR="00270481" w:rsidRPr="0035095E">
        <w:rPr>
          <w:rFonts w:ascii="Times New Roman" w:eastAsia="Times New Roman" w:hAnsi="Times New Roman" w:cs="Times New Roman"/>
          <w:sz w:val="20"/>
          <w:szCs w:val="20"/>
          <w:lang w:val="en-US"/>
        </w:rPr>
        <w:t xml:space="preserve"> </w:t>
      </w:r>
      <w:r w:rsidR="00A93069" w:rsidRPr="0035095E">
        <w:rPr>
          <w:rFonts w:ascii="Times New Roman" w:eastAsia="Times New Roman" w:hAnsi="Times New Roman" w:cs="Times New Roman"/>
          <w:sz w:val="20"/>
          <w:szCs w:val="20"/>
          <w:lang w:val="en-US"/>
        </w:rPr>
        <w:t xml:space="preserve">that </w:t>
      </w:r>
      <w:proofErr w:type="gramStart"/>
      <w:r w:rsidR="00A36FDD" w:rsidRPr="0035095E">
        <w:rPr>
          <w:rFonts w:ascii="Times New Roman" w:eastAsia="Times New Roman" w:hAnsi="Times New Roman" w:cs="Times New Roman"/>
          <w:sz w:val="20"/>
          <w:szCs w:val="20"/>
          <w:lang w:val="en-US"/>
        </w:rPr>
        <w:t xml:space="preserve">the </w:t>
      </w:r>
      <w:r w:rsidR="00A93069" w:rsidRPr="0035095E">
        <w:rPr>
          <w:rFonts w:ascii="Times New Roman" w:eastAsia="Times New Roman" w:hAnsi="Times New Roman" w:cs="Times New Roman"/>
          <w:sz w:val="20"/>
          <w:szCs w:val="20"/>
          <w:lang w:val="en-US"/>
        </w:rPr>
        <w:t>majority of</w:t>
      </w:r>
      <w:proofErr w:type="gramEnd"/>
      <w:r w:rsidR="00A93069" w:rsidRPr="0035095E">
        <w:rPr>
          <w:rFonts w:ascii="Times New Roman" w:eastAsia="Times New Roman" w:hAnsi="Times New Roman" w:cs="Times New Roman"/>
          <w:sz w:val="20"/>
          <w:szCs w:val="20"/>
          <w:lang w:val="en-US"/>
        </w:rPr>
        <w:t xml:space="preserve"> college students rate themselves low </w:t>
      </w:r>
      <w:r w:rsidR="00270481" w:rsidRPr="0035095E">
        <w:rPr>
          <w:rFonts w:ascii="Times New Roman" w:eastAsia="Times New Roman" w:hAnsi="Times New Roman" w:cs="Times New Roman"/>
          <w:sz w:val="20"/>
          <w:szCs w:val="20"/>
          <w:lang w:val="en-US"/>
        </w:rPr>
        <w:t xml:space="preserve">on </w:t>
      </w:r>
      <w:r w:rsidR="00A93069" w:rsidRPr="0035095E">
        <w:rPr>
          <w:rFonts w:ascii="Times New Roman" w:eastAsia="Times New Roman" w:hAnsi="Times New Roman" w:cs="Times New Roman"/>
          <w:sz w:val="20"/>
          <w:szCs w:val="20"/>
          <w:lang w:val="en-US"/>
        </w:rPr>
        <w:t xml:space="preserve">tax </w:t>
      </w:r>
      <w:r w:rsidR="00816771" w:rsidRPr="0035095E">
        <w:rPr>
          <w:rFonts w:ascii="Times New Roman" w:eastAsia="Times New Roman" w:hAnsi="Times New Roman" w:cs="Times New Roman"/>
          <w:sz w:val="20"/>
          <w:szCs w:val="20"/>
          <w:lang w:val="en-US"/>
        </w:rPr>
        <w:t>knowledge</w:t>
      </w:r>
      <w:r w:rsidR="00A93069" w:rsidRPr="0035095E">
        <w:rPr>
          <w:rFonts w:ascii="Times New Roman" w:eastAsia="Times New Roman" w:hAnsi="Times New Roman" w:cs="Times New Roman"/>
          <w:sz w:val="20"/>
          <w:szCs w:val="20"/>
          <w:lang w:val="en-US"/>
        </w:rPr>
        <w:t>.</w:t>
      </w:r>
      <w:r w:rsidR="0035095E">
        <w:rPr>
          <w:rFonts w:ascii="Times New Roman" w:eastAsia="Times New Roman" w:hAnsi="Times New Roman" w:cs="Times New Roman"/>
          <w:sz w:val="20"/>
          <w:szCs w:val="20"/>
          <w:lang w:val="en-US"/>
        </w:rPr>
        <w:t xml:space="preserve">  </w:t>
      </w:r>
    </w:p>
    <w:p w14:paraId="10D9CEA5" w14:textId="77777777" w:rsidR="0035095E" w:rsidRPr="0035095E" w:rsidRDefault="0035095E" w:rsidP="00C45D4F">
      <w:pPr>
        <w:rPr>
          <w:rFonts w:ascii="Times New Roman" w:eastAsia="Times New Roman" w:hAnsi="Times New Roman" w:cs="Times New Roman"/>
          <w:sz w:val="20"/>
          <w:szCs w:val="20"/>
          <w:lang w:val="en-US"/>
        </w:rPr>
      </w:pPr>
    </w:p>
    <w:p w14:paraId="6068B099" w14:textId="42F52DC6" w:rsidR="00850347" w:rsidRDefault="009B6864" w:rsidP="00C45D4F">
      <w:pPr>
        <w:rPr>
          <w:rFonts w:ascii="Times New Roman" w:eastAsia="Times New Roman" w:hAnsi="Times New Roman" w:cs="Times New Roman"/>
          <w:sz w:val="20"/>
          <w:szCs w:val="20"/>
          <w:lang w:val="en-US"/>
        </w:rPr>
      </w:pPr>
      <w:r w:rsidRPr="0035095E">
        <w:rPr>
          <w:rFonts w:ascii="Times New Roman" w:eastAsia="Times New Roman" w:hAnsi="Times New Roman" w:cs="Times New Roman"/>
          <w:sz w:val="20"/>
          <w:szCs w:val="20"/>
          <w:lang w:val="en-US"/>
        </w:rPr>
        <w:t>Research of tax confidence and financial confidence find</w:t>
      </w:r>
      <w:r w:rsidR="00414A24" w:rsidRPr="0035095E">
        <w:rPr>
          <w:rFonts w:ascii="Times New Roman" w:eastAsia="Times New Roman" w:hAnsi="Times New Roman" w:cs="Times New Roman"/>
          <w:sz w:val="20"/>
          <w:szCs w:val="20"/>
          <w:lang w:val="en-US"/>
        </w:rPr>
        <w:t>s</w:t>
      </w:r>
      <w:r w:rsidRPr="0035095E">
        <w:rPr>
          <w:rFonts w:ascii="Times New Roman" w:eastAsia="Times New Roman" w:hAnsi="Times New Roman" w:cs="Times New Roman"/>
          <w:sz w:val="20"/>
          <w:szCs w:val="20"/>
          <w:lang w:val="en-US"/>
        </w:rPr>
        <w:t xml:space="preserve"> that the</w:t>
      </w:r>
      <w:r w:rsidR="00414A24" w:rsidRPr="0035095E">
        <w:rPr>
          <w:rFonts w:ascii="Times New Roman" w:eastAsia="Times New Roman" w:hAnsi="Times New Roman" w:cs="Times New Roman"/>
          <w:sz w:val="20"/>
          <w:szCs w:val="20"/>
          <w:lang w:val="en-US"/>
        </w:rPr>
        <w:t>se</w:t>
      </w:r>
      <w:r w:rsidRPr="0035095E">
        <w:rPr>
          <w:rFonts w:ascii="Times New Roman" w:eastAsia="Times New Roman" w:hAnsi="Times New Roman" w:cs="Times New Roman"/>
          <w:sz w:val="20"/>
          <w:szCs w:val="20"/>
          <w:lang w:val="en-US"/>
        </w:rPr>
        <w:t xml:space="preserve"> two are positively correlated. This is shown in </w:t>
      </w:r>
      <w:r w:rsidR="006C1E22" w:rsidRPr="0035095E">
        <w:rPr>
          <w:rFonts w:ascii="Times New Roman" w:eastAsia="Times New Roman" w:hAnsi="Times New Roman" w:cs="Times New Roman"/>
          <w:sz w:val="20"/>
          <w:szCs w:val="20"/>
          <w:lang w:val="en-US"/>
        </w:rPr>
        <w:t>Lyon and Caitlin (2020)</w:t>
      </w:r>
      <w:r w:rsidR="00313556" w:rsidRPr="0035095E">
        <w:rPr>
          <w:rFonts w:ascii="Times New Roman" w:eastAsia="Times New Roman" w:hAnsi="Times New Roman" w:cs="Times New Roman"/>
          <w:sz w:val="20"/>
          <w:szCs w:val="20"/>
          <w:lang w:val="en-US"/>
        </w:rPr>
        <w:t xml:space="preserve">, who also find </w:t>
      </w:r>
      <w:r w:rsidR="006C1E22" w:rsidRPr="0035095E">
        <w:rPr>
          <w:rFonts w:ascii="Times New Roman" w:eastAsia="Times New Roman" w:hAnsi="Times New Roman" w:cs="Times New Roman"/>
          <w:sz w:val="20"/>
          <w:szCs w:val="20"/>
          <w:lang w:val="en-US"/>
        </w:rPr>
        <w:t xml:space="preserve">that </w:t>
      </w:r>
      <w:r w:rsidR="00C57593" w:rsidRPr="0035095E">
        <w:rPr>
          <w:rFonts w:ascii="Times New Roman" w:eastAsia="Times New Roman" w:hAnsi="Times New Roman" w:cs="Times New Roman"/>
          <w:sz w:val="20"/>
          <w:szCs w:val="20"/>
          <w:lang w:val="en-US"/>
        </w:rPr>
        <w:t>taxpayers</w:t>
      </w:r>
      <w:r w:rsidR="006C1E22" w:rsidRPr="0035095E">
        <w:rPr>
          <w:rFonts w:ascii="Times New Roman" w:eastAsia="Times New Roman" w:hAnsi="Times New Roman" w:cs="Times New Roman"/>
          <w:sz w:val="20"/>
          <w:szCs w:val="20"/>
          <w:lang w:val="en-US"/>
        </w:rPr>
        <w:t xml:space="preserve"> are more confident in their financial literacy than their tax literacy. </w:t>
      </w:r>
      <w:r w:rsidR="00F50467" w:rsidRPr="0035095E">
        <w:rPr>
          <w:rStyle w:val="standard-view-style"/>
          <w:rFonts w:ascii="Times New Roman" w:hAnsi="Times New Roman" w:cs="Times New Roman"/>
          <w:sz w:val="20"/>
          <w:szCs w:val="20"/>
          <w:lang w:val="en-US"/>
        </w:rPr>
        <w:t xml:space="preserve">Chardon, Freudenberg and Brimble </w:t>
      </w:r>
      <w:r w:rsidR="00023B0B" w:rsidRPr="0035095E">
        <w:rPr>
          <w:rFonts w:ascii="Times New Roman" w:eastAsia="Times New Roman" w:hAnsi="Times New Roman" w:cs="Times New Roman"/>
          <w:sz w:val="20"/>
          <w:szCs w:val="20"/>
          <w:lang w:val="en-US"/>
        </w:rPr>
        <w:t xml:space="preserve">(2016) </w:t>
      </w:r>
      <w:r w:rsidR="00F50467" w:rsidRPr="0035095E">
        <w:rPr>
          <w:rFonts w:ascii="Times New Roman" w:eastAsia="Times New Roman" w:hAnsi="Times New Roman" w:cs="Times New Roman"/>
          <w:bCs/>
          <w:sz w:val="20"/>
          <w:szCs w:val="20"/>
          <w:lang w:val="en-US"/>
        </w:rPr>
        <w:t xml:space="preserve">find </w:t>
      </w:r>
      <w:r w:rsidR="00414A24" w:rsidRPr="0035095E">
        <w:rPr>
          <w:rFonts w:ascii="Times New Roman" w:eastAsia="Times New Roman" w:hAnsi="Times New Roman" w:cs="Times New Roman"/>
          <w:bCs/>
          <w:sz w:val="20"/>
          <w:szCs w:val="20"/>
          <w:lang w:val="en-US"/>
        </w:rPr>
        <w:t xml:space="preserve">similar </w:t>
      </w:r>
      <w:r w:rsidR="00313556" w:rsidRPr="0035095E">
        <w:rPr>
          <w:rFonts w:ascii="Times New Roman" w:eastAsia="Times New Roman" w:hAnsi="Times New Roman" w:cs="Times New Roman"/>
          <w:bCs/>
          <w:sz w:val="20"/>
          <w:szCs w:val="20"/>
          <w:lang w:val="en-US"/>
        </w:rPr>
        <w:t xml:space="preserve">positive association </w:t>
      </w:r>
      <w:r w:rsidR="00414A24" w:rsidRPr="0035095E">
        <w:rPr>
          <w:rFonts w:ascii="Times New Roman" w:eastAsia="Times New Roman" w:hAnsi="Times New Roman" w:cs="Times New Roman"/>
          <w:bCs/>
          <w:sz w:val="20"/>
          <w:szCs w:val="20"/>
          <w:lang w:val="en-US"/>
        </w:rPr>
        <w:t>in</w:t>
      </w:r>
      <w:r w:rsidR="00F50467" w:rsidRPr="0035095E">
        <w:rPr>
          <w:rFonts w:ascii="Times New Roman" w:eastAsia="Times New Roman" w:hAnsi="Times New Roman" w:cs="Times New Roman"/>
          <w:bCs/>
          <w:sz w:val="20"/>
          <w:szCs w:val="20"/>
          <w:lang w:val="en-US"/>
        </w:rPr>
        <w:t xml:space="preserve"> Australia respondents</w:t>
      </w:r>
      <w:r w:rsidR="00023B0B" w:rsidRPr="0035095E">
        <w:rPr>
          <w:rFonts w:ascii="Times New Roman" w:eastAsia="Times New Roman" w:hAnsi="Times New Roman" w:cs="Times New Roman"/>
          <w:bCs/>
          <w:sz w:val="20"/>
          <w:szCs w:val="20"/>
          <w:lang w:val="en-US"/>
        </w:rPr>
        <w:t xml:space="preserve">. </w:t>
      </w:r>
      <w:r w:rsidR="0028448C" w:rsidRPr="0035095E">
        <w:rPr>
          <w:rFonts w:ascii="Times New Roman" w:eastAsia="Times New Roman" w:hAnsi="Times New Roman" w:cs="Times New Roman"/>
          <w:sz w:val="20"/>
          <w:szCs w:val="20"/>
          <w:lang w:val="en-US"/>
        </w:rPr>
        <w:t xml:space="preserve">If </w:t>
      </w:r>
      <w:r w:rsidR="00F50467" w:rsidRPr="0035095E">
        <w:rPr>
          <w:rFonts w:ascii="Times New Roman" w:eastAsia="Times New Roman" w:hAnsi="Times New Roman" w:cs="Times New Roman"/>
          <w:sz w:val="20"/>
          <w:szCs w:val="20"/>
          <w:lang w:val="en-US"/>
        </w:rPr>
        <w:t xml:space="preserve">education such as </w:t>
      </w:r>
      <w:r w:rsidR="0028448C" w:rsidRPr="0035095E">
        <w:rPr>
          <w:rFonts w:ascii="Times New Roman" w:eastAsia="Times New Roman" w:hAnsi="Times New Roman" w:cs="Times New Roman"/>
          <w:sz w:val="20"/>
          <w:szCs w:val="20"/>
          <w:lang w:val="en-US"/>
        </w:rPr>
        <w:t>introductory and advance</w:t>
      </w:r>
      <w:r w:rsidR="00414A24" w:rsidRPr="0035095E">
        <w:rPr>
          <w:rFonts w:ascii="Times New Roman" w:eastAsia="Times New Roman" w:hAnsi="Times New Roman" w:cs="Times New Roman"/>
          <w:sz w:val="20"/>
          <w:szCs w:val="20"/>
          <w:lang w:val="en-US"/>
        </w:rPr>
        <w:t>d</w:t>
      </w:r>
      <w:r w:rsidR="0028448C" w:rsidRPr="0035095E">
        <w:rPr>
          <w:rFonts w:ascii="Times New Roman" w:eastAsia="Times New Roman" w:hAnsi="Times New Roman" w:cs="Times New Roman"/>
          <w:sz w:val="20"/>
          <w:szCs w:val="20"/>
          <w:lang w:val="en-US"/>
        </w:rPr>
        <w:t xml:space="preserve"> accounting courses improve a student’s financial literacy</w:t>
      </w:r>
      <w:r w:rsidR="00DE4790" w:rsidRPr="0035095E">
        <w:rPr>
          <w:rFonts w:ascii="Times New Roman" w:eastAsia="Times New Roman" w:hAnsi="Times New Roman" w:cs="Times New Roman"/>
          <w:sz w:val="20"/>
          <w:szCs w:val="20"/>
          <w:lang w:val="en-US"/>
        </w:rPr>
        <w:t xml:space="preserve"> as suggested by Rakow (2019)</w:t>
      </w:r>
      <w:r w:rsidR="0028448C" w:rsidRPr="0035095E">
        <w:rPr>
          <w:rFonts w:ascii="Times New Roman" w:eastAsia="Times New Roman" w:hAnsi="Times New Roman" w:cs="Times New Roman"/>
          <w:sz w:val="20"/>
          <w:szCs w:val="20"/>
          <w:lang w:val="en-US"/>
        </w:rPr>
        <w:t xml:space="preserve">, </w:t>
      </w:r>
      <w:r w:rsidR="00F50467" w:rsidRPr="0035095E">
        <w:rPr>
          <w:rFonts w:ascii="Times New Roman" w:eastAsia="Times New Roman" w:hAnsi="Times New Roman" w:cs="Times New Roman"/>
          <w:sz w:val="20"/>
          <w:szCs w:val="20"/>
          <w:lang w:val="en-US"/>
        </w:rPr>
        <w:t>those</w:t>
      </w:r>
      <w:r w:rsidR="0028448C" w:rsidRPr="0035095E">
        <w:rPr>
          <w:rFonts w:ascii="Times New Roman" w:eastAsia="Times New Roman" w:hAnsi="Times New Roman" w:cs="Times New Roman"/>
          <w:sz w:val="20"/>
          <w:szCs w:val="20"/>
          <w:lang w:val="en-US"/>
        </w:rPr>
        <w:t xml:space="preserve"> who have </w:t>
      </w:r>
      <w:r w:rsidR="00F50467" w:rsidRPr="0035095E">
        <w:rPr>
          <w:rFonts w:ascii="Times New Roman" w:eastAsia="Times New Roman" w:hAnsi="Times New Roman" w:cs="Times New Roman"/>
          <w:sz w:val="20"/>
          <w:szCs w:val="20"/>
          <w:lang w:val="en-US"/>
        </w:rPr>
        <w:t>received accounting training</w:t>
      </w:r>
      <w:r w:rsidR="0028448C" w:rsidRPr="0035095E">
        <w:rPr>
          <w:rFonts w:ascii="Times New Roman" w:eastAsia="Times New Roman" w:hAnsi="Times New Roman" w:cs="Times New Roman"/>
          <w:sz w:val="20"/>
          <w:szCs w:val="20"/>
          <w:lang w:val="en-US"/>
        </w:rPr>
        <w:t xml:space="preserve"> </w:t>
      </w:r>
      <w:r w:rsidR="00414A24" w:rsidRPr="0035095E">
        <w:rPr>
          <w:rFonts w:ascii="Times New Roman" w:eastAsia="Times New Roman" w:hAnsi="Times New Roman" w:cs="Times New Roman"/>
          <w:sz w:val="20"/>
          <w:szCs w:val="20"/>
          <w:lang w:val="en-US"/>
        </w:rPr>
        <w:t xml:space="preserve">should </w:t>
      </w:r>
      <w:r w:rsidR="00B60453" w:rsidRPr="0035095E">
        <w:rPr>
          <w:rFonts w:ascii="Times New Roman" w:eastAsia="Times New Roman" w:hAnsi="Times New Roman" w:cs="Times New Roman"/>
          <w:sz w:val="20"/>
          <w:szCs w:val="20"/>
          <w:lang w:val="en-US"/>
        </w:rPr>
        <w:t xml:space="preserve">be more confident in their </w:t>
      </w:r>
      <w:r w:rsidR="00585ABE" w:rsidRPr="0035095E">
        <w:rPr>
          <w:rFonts w:ascii="Times New Roman" w:eastAsia="Times New Roman" w:hAnsi="Times New Roman" w:cs="Times New Roman"/>
          <w:sz w:val="20"/>
          <w:szCs w:val="20"/>
          <w:lang w:val="en-US"/>
        </w:rPr>
        <w:t>financial knowledge. Whether</w:t>
      </w:r>
      <w:r w:rsidR="00E26C73" w:rsidRPr="0035095E">
        <w:rPr>
          <w:rFonts w:ascii="Times New Roman" w:eastAsia="Times New Roman" w:hAnsi="Times New Roman" w:cs="Times New Roman"/>
          <w:sz w:val="20"/>
          <w:szCs w:val="20"/>
          <w:lang w:val="en-US"/>
        </w:rPr>
        <w:t xml:space="preserve"> such</w:t>
      </w:r>
      <w:r w:rsidR="00B60453" w:rsidRPr="0035095E">
        <w:rPr>
          <w:rFonts w:ascii="Times New Roman" w:eastAsia="Times New Roman" w:hAnsi="Times New Roman" w:cs="Times New Roman"/>
          <w:sz w:val="20"/>
          <w:szCs w:val="20"/>
          <w:lang w:val="en-US"/>
        </w:rPr>
        <w:t xml:space="preserve"> confidence could extend to </w:t>
      </w:r>
      <w:r w:rsidR="00585ABE" w:rsidRPr="0035095E">
        <w:rPr>
          <w:rFonts w:ascii="Times New Roman" w:eastAsia="Times New Roman" w:hAnsi="Times New Roman" w:cs="Times New Roman"/>
          <w:sz w:val="20"/>
          <w:szCs w:val="20"/>
          <w:lang w:val="en-US"/>
        </w:rPr>
        <w:t>students’ confidence in their tax knowledge is an empirical question.</w:t>
      </w:r>
      <w:r w:rsidR="00A64DC2" w:rsidRPr="0035095E">
        <w:rPr>
          <w:rFonts w:ascii="Times New Roman" w:eastAsia="Times New Roman" w:hAnsi="Times New Roman" w:cs="Times New Roman"/>
          <w:sz w:val="20"/>
          <w:szCs w:val="20"/>
          <w:lang w:val="en-US"/>
        </w:rPr>
        <w:t xml:space="preserve"> </w:t>
      </w:r>
      <w:r w:rsidR="00C31559" w:rsidRPr="0035095E">
        <w:rPr>
          <w:rFonts w:ascii="Times New Roman" w:eastAsia="Times New Roman" w:hAnsi="Times New Roman" w:cs="Times New Roman"/>
          <w:sz w:val="20"/>
          <w:szCs w:val="20"/>
          <w:lang w:val="en-US"/>
        </w:rPr>
        <w:t xml:space="preserve">If accounting courses do </w:t>
      </w:r>
      <w:proofErr w:type="gramStart"/>
      <w:r w:rsidR="00C31559" w:rsidRPr="0035095E">
        <w:rPr>
          <w:rFonts w:ascii="Times New Roman" w:eastAsia="Times New Roman" w:hAnsi="Times New Roman" w:cs="Times New Roman"/>
          <w:sz w:val="20"/>
          <w:szCs w:val="20"/>
          <w:lang w:val="en-US"/>
        </w:rPr>
        <w:t>no</w:t>
      </w:r>
      <w:proofErr w:type="gramEnd"/>
      <w:r w:rsidR="00C31559" w:rsidRPr="0035095E">
        <w:rPr>
          <w:rFonts w:ascii="Times New Roman" w:eastAsia="Times New Roman" w:hAnsi="Times New Roman" w:cs="Times New Roman"/>
          <w:sz w:val="20"/>
          <w:szCs w:val="20"/>
          <w:lang w:val="en-US"/>
        </w:rPr>
        <w:t xml:space="preserve"> help students to build their tax confidence, </w:t>
      </w:r>
      <w:r w:rsidR="003C45D8" w:rsidRPr="0035095E">
        <w:rPr>
          <w:rFonts w:ascii="Times New Roman" w:eastAsia="Times New Roman" w:hAnsi="Times New Roman" w:cs="Times New Roman"/>
          <w:sz w:val="20"/>
          <w:szCs w:val="20"/>
          <w:lang w:val="en-US"/>
        </w:rPr>
        <w:t>a formal tax training may be necessary.</w:t>
      </w:r>
      <w:r w:rsidR="0035095E">
        <w:rPr>
          <w:rFonts w:ascii="Times New Roman" w:eastAsia="Times New Roman" w:hAnsi="Times New Roman" w:cs="Times New Roman"/>
          <w:sz w:val="20"/>
          <w:szCs w:val="20"/>
          <w:lang w:val="en-US"/>
        </w:rPr>
        <w:t xml:space="preserve">  </w:t>
      </w:r>
    </w:p>
    <w:p w14:paraId="2CD1D08E" w14:textId="77777777" w:rsidR="0035095E" w:rsidRPr="0035095E" w:rsidRDefault="0035095E" w:rsidP="00C45D4F">
      <w:pPr>
        <w:rPr>
          <w:rFonts w:ascii="Times New Roman" w:eastAsia="Times New Roman" w:hAnsi="Times New Roman" w:cs="Times New Roman"/>
          <w:sz w:val="20"/>
          <w:szCs w:val="20"/>
          <w:lang w:val="en-US"/>
        </w:rPr>
      </w:pPr>
    </w:p>
    <w:p w14:paraId="67C2E4A5" w14:textId="5B253F9D" w:rsidR="00336810" w:rsidRDefault="003C45D8" w:rsidP="00C45D4F">
      <w:pPr>
        <w:rPr>
          <w:rFonts w:ascii="Times New Roman" w:eastAsia="Times New Roman" w:hAnsi="Times New Roman" w:cs="Times New Roman"/>
          <w:bCs/>
          <w:sz w:val="20"/>
          <w:szCs w:val="20"/>
          <w:lang w:val="en-US"/>
        </w:rPr>
      </w:pPr>
      <w:r w:rsidRPr="0035095E">
        <w:rPr>
          <w:rFonts w:ascii="Times New Roman" w:eastAsia="Times New Roman" w:hAnsi="Times New Roman" w:cs="Times New Roman"/>
          <w:sz w:val="20"/>
          <w:szCs w:val="20"/>
          <w:lang w:val="en-US"/>
        </w:rPr>
        <w:t xml:space="preserve">Whether tax education improves tax confidence of young adults is also an empirical question. </w:t>
      </w:r>
      <w:r w:rsidR="0078553E" w:rsidRPr="0035095E">
        <w:rPr>
          <w:rFonts w:ascii="Times New Roman" w:eastAsia="Times New Roman" w:hAnsi="Times New Roman" w:cs="Times New Roman"/>
          <w:sz w:val="20"/>
          <w:szCs w:val="20"/>
          <w:lang w:val="en-US"/>
        </w:rPr>
        <w:t>A</w:t>
      </w:r>
      <w:r w:rsidR="001C7A6C" w:rsidRPr="0035095E">
        <w:rPr>
          <w:rFonts w:ascii="Times New Roman" w:eastAsia="Times New Roman" w:hAnsi="Times New Roman" w:cs="Times New Roman"/>
          <w:sz w:val="20"/>
          <w:szCs w:val="20"/>
          <w:lang w:val="en-US"/>
        </w:rPr>
        <w:t>ctual knowledge and perceived knowledge coincide in many cases</w:t>
      </w:r>
      <w:r w:rsidR="0078553E" w:rsidRPr="0035095E">
        <w:rPr>
          <w:rFonts w:ascii="Times New Roman" w:eastAsia="Times New Roman" w:hAnsi="Times New Roman" w:cs="Times New Roman"/>
          <w:sz w:val="20"/>
          <w:szCs w:val="20"/>
          <w:lang w:val="en-US"/>
        </w:rPr>
        <w:t>. C</w:t>
      </w:r>
      <w:r w:rsidR="001C7A6C" w:rsidRPr="0035095E">
        <w:rPr>
          <w:rFonts w:ascii="Times New Roman" w:eastAsia="Times New Roman" w:hAnsi="Times New Roman" w:cs="Times New Roman"/>
          <w:sz w:val="20"/>
          <w:szCs w:val="20"/>
          <w:lang w:val="en-US"/>
        </w:rPr>
        <w:t xml:space="preserve">onsistent with </w:t>
      </w:r>
      <w:r w:rsidR="0078553E" w:rsidRPr="0035095E">
        <w:rPr>
          <w:rFonts w:ascii="Times New Roman" w:eastAsia="Times New Roman" w:hAnsi="Times New Roman" w:cs="Times New Roman"/>
          <w:sz w:val="20"/>
          <w:szCs w:val="20"/>
          <w:lang w:val="en-US"/>
        </w:rPr>
        <w:t>the documented positive relationship between financial confidence and financial literacy, a positive association between tax confidence and tax litera</w:t>
      </w:r>
      <w:r w:rsidR="00360396" w:rsidRPr="0035095E">
        <w:rPr>
          <w:rFonts w:ascii="Times New Roman" w:eastAsia="Times New Roman" w:hAnsi="Times New Roman" w:cs="Times New Roman"/>
          <w:sz w:val="20"/>
          <w:szCs w:val="20"/>
          <w:lang w:val="en-US"/>
        </w:rPr>
        <w:t>cy</w:t>
      </w:r>
      <w:r w:rsidR="000D21E9" w:rsidRPr="0035095E">
        <w:rPr>
          <w:rFonts w:ascii="Times New Roman" w:eastAsia="Times New Roman" w:hAnsi="Times New Roman" w:cs="Times New Roman"/>
          <w:sz w:val="20"/>
          <w:szCs w:val="20"/>
          <w:lang w:val="en-US"/>
        </w:rPr>
        <w:t xml:space="preserve"> is expected</w:t>
      </w:r>
      <w:r w:rsidR="00360396" w:rsidRPr="0035095E">
        <w:rPr>
          <w:rFonts w:ascii="Times New Roman" w:eastAsia="Times New Roman" w:hAnsi="Times New Roman" w:cs="Times New Roman"/>
          <w:sz w:val="20"/>
          <w:szCs w:val="20"/>
          <w:lang w:val="en-US"/>
        </w:rPr>
        <w:t xml:space="preserve">. However, </w:t>
      </w:r>
      <w:r w:rsidR="00AF021E" w:rsidRPr="0035095E">
        <w:rPr>
          <w:rFonts w:ascii="Times New Roman" w:eastAsia="Times New Roman" w:hAnsi="Times New Roman" w:cs="Times New Roman"/>
          <w:sz w:val="20"/>
          <w:szCs w:val="20"/>
          <w:lang w:val="en-US"/>
        </w:rPr>
        <w:t>we recognize that a</w:t>
      </w:r>
      <w:r w:rsidR="00BA3EE7" w:rsidRPr="0035095E">
        <w:rPr>
          <w:rFonts w:ascii="Times New Roman" w:eastAsia="Times New Roman" w:hAnsi="Times New Roman" w:cs="Times New Roman"/>
          <w:sz w:val="20"/>
          <w:szCs w:val="20"/>
          <w:lang w:val="en-US"/>
        </w:rPr>
        <w:t xml:space="preserve"> negative association may exist for two reasons. First, </w:t>
      </w:r>
      <w:r w:rsidR="00DF1442" w:rsidRPr="0035095E">
        <w:rPr>
          <w:rFonts w:ascii="Times New Roman" w:eastAsia="Times New Roman" w:hAnsi="Times New Roman" w:cs="Times New Roman"/>
          <w:sz w:val="20"/>
          <w:szCs w:val="20"/>
          <w:lang w:val="en-US"/>
        </w:rPr>
        <w:t xml:space="preserve">the </w:t>
      </w:r>
      <w:r w:rsidR="001C7A6C" w:rsidRPr="0035095E">
        <w:rPr>
          <w:rFonts w:ascii="Times New Roman" w:eastAsia="Times New Roman" w:hAnsi="Times New Roman" w:cs="Times New Roman"/>
          <w:sz w:val="20"/>
          <w:szCs w:val="20"/>
          <w:lang w:val="en-US"/>
        </w:rPr>
        <w:t>“illusion of knowing”</w:t>
      </w:r>
      <w:r w:rsidR="001F38C0" w:rsidRPr="0035095E">
        <w:rPr>
          <w:rFonts w:ascii="Times New Roman" w:eastAsia="Times New Roman" w:hAnsi="Times New Roman" w:cs="Times New Roman"/>
          <w:sz w:val="20"/>
          <w:szCs w:val="20"/>
          <w:lang w:val="en-US"/>
        </w:rPr>
        <w:t xml:space="preserve"> theory in </w:t>
      </w:r>
      <w:r w:rsidR="001C7A6C" w:rsidRPr="0035095E">
        <w:rPr>
          <w:rFonts w:ascii="Times New Roman" w:eastAsia="Times New Roman" w:hAnsi="Times New Roman" w:cs="Times New Roman"/>
          <w:sz w:val="20"/>
          <w:szCs w:val="20"/>
          <w:lang w:val="en-US"/>
        </w:rPr>
        <w:t xml:space="preserve">psychology </w:t>
      </w:r>
      <w:r w:rsidR="001F38C0" w:rsidRPr="0035095E">
        <w:rPr>
          <w:rFonts w:ascii="Times New Roman" w:eastAsia="Times New Roman" w:hAnsi="Times New Roman" w:cs="Times New Roman"/>
          <w:sz w:val="20"/>
          <w:szCs w:val="20"/>
          <w:lang w:val="en-US"/>
        </w:rPr>
        <w:t xml:space="preserve">research </w:t>
      </w:r>
      <w:r w:rsidR="001C7A6C" w:rsidRPr="0035095E">
        <w:rPr>
          <w:rFonts w:ascii="Times New Roman" w:eastAsia="Times New Roman" w:hAnsi="Times New Roman" w:cs="Times New Roman"/>
          <w:sz w:val="20"/>
          <w:szCs w:val="20"/>
          <w:lang w:val="en-US"/>
        </w:rPr>
        <w:t xml:space="preserve">suggests that </w:t>
      </w:r>
      <w:r w:rsidR="00306A62" w:rsidRPr="0035095E">
        <w:rPr>
          <w:rFonts w:ascii="Times New Roman" w:eastAsia="Times New Roman" w:hAnsi="Times New Roman" w:cs="Times New Roman"/>
          <w:sz w:val="20"/>
          <w:szCs w:val="20"/>
          <w:lang w:val="en-US"/>
        </w:rPr>
        <w:t>a</w:t>
      </w:r>
      <w:r w:rsidR="001C7A6C" w:rsidRPr="0035095E">
        <w:rPr>
          <w:rFonts w:ascii="Times New Roman" w:eastAsia="Times New Roman" w:hAnsi="Times New Roman" w:cs="Times New Roman"/>
          <w:sz w:val="20"/>
          <w:szCs w:val="20"/>
          <w:lang w:val="en-US"/>
        </w:rPr>
        <w:t xml:space="preserve"> discrepancy between </w:t>
      </w:r>
      <w:r w:rsidR="00306A62" w:rsidRPr="0035095E">
        <w:rPr>
          <w:rFonts w:ascii="Times New Roman" w:eastAsia="Times New Roman" w:hAnsi="Times New Roman" w:cs="Times New Roman"/>
          <w:sz w:val="20"/>
          <w:szCs w:val="20"/>
          <w:lang w:val="en-US"/>
        </w:rPr>
        <w:t xml:space="preserve">one’s actual knowledge and </w:t>
      </w:r>
      <w:r w:rsidR="00360396" w:rsidRPr="0035095E">
        <w:rPr>
          <w:rFonts w:ascii="Times New Roman" w:eastAsia="Times New Roman" w:hAnsi="Times New Roman" w:cs="Times New Roman"/>
          <w:sz w:val="20"/>
          <w:szCs w:val="20"/>
          <w:lang w:val="en-US"/>
        </w:rPr>
        <w:t>perceived knowledge</w:t>
      </w:r>
      <w:r w:rsidR="00306A62" w:rsidRPr="0035095E">
        <w:rPr>
          <w:rFonts w:ascii="Times New Roman" w:eastAsia="Times New Roman" w:hAnsi="Times New Roman" w:cs="Times New Roman"/>
          <w:sz w:val="20"/>
          <w:szCs w:val="20"/>
          <w:lang w:val="en-US"/>
        </w:rPr>
        <w:t xml:space="preserve"> may exist </w:t>
      </w:r>
      <w:r w:rsidR="006372D1" w:rsidRPr="0035095E">
        <w:rPr>
          <w:rFonts w:ascii="Times New Roman" w:eastAsia="Times New Roman" w:hAnsi="Times New Roman" w:cs="Times New Roman"/>
          <w:sz w:val="20"/>
          <w:szCs w:val="20"/>
          <w:lang w:val="en-US"/>
        </w:rPr>
        <w:t>(</w:t>
      </w:r>
      <w:r w:rsidR="007A09F2" w:rsidRPr="0035095E">
        <w:rPr>
          <w:rFonts w:ascii="Times New Roman" w:eastAsia="Times New Roman" w:hAnsi="Times New Roman" w:cs="Times New Roman"/>
          <w:sz w:val="20"/>
          <w:szCs w:val="20"/>
          <w:lang w:val="en-US"/>
        </w:rPr>
        <w:t>Park</w:t>
      </w:r>
      <w:r w:rsidR="00312C57" w:rsidRPr="0035095E">
        <w:rPr>
          <w:rFonts w:ascii="Times New Roman" w:eastAsia="Times New Roman" w:hAnsi="Times New Roman" w:cs="Times New Roman"/>
          <w:sz w:val="20"/>
          <w:szCs w:val="20"/>
          <w:lang w:val="en-US"/>
        </w:rPr>
        <w:t xml:space="preserve"> et al.</w:t>
      </w:r>
      <w:r w:rsidR="007A09F2" w:rsidRPr="0035095E">
        <w:rPr>
          <w:rFonts w:ascii="Times New Roman" w:eastAsia="Times New Roman" w:hAnsi="Times New Roman" w:cs="Times New Roman"/>
          <w:sz w:val="20"/>
          <w:szCs w:val="20"/>
          <w:lang w:val="en-US"/>
        </w:rPr>
        <w:t>, 1988)</w:t>
      </w:r>
      <w:r w:rsidR="00131EDB" w:rsidRPr="0035095E">
        <w:rPr>
          <w:rFonts w:ascii="Times New Roman" w:eastAsia="Times New Roman" w:hAnsi="Times New Roman" w:cs="Times New Roman"/>
          <w:sz w:val="20"/>
          <w:szCs w:val="20"/>
          <w:lang w:val="en-US"/>
        </w:rPr>
        <w:t xml:space="preserve">. For young adults, the discrepancy can be especially true when they </w:t>
      </w:r>
      <w:r w:rsidR="005A46F9" w:rsidRPr="0035095E">
        <w:rPr>
          <w:rFonts w:ascii="Times New Roman" w:eastAsia="Times New Roman" w:hAnsi="Times New Roman" w:cs="Times New Roman"/>
          <w:sz w:val="20"/>
          <w:szCs w:val="20"/>
          <w:lang w:val="en-US"/>
        </w:rPr>
        <w:t>have</w:t>
      </w:r>
      <w:r w:rsidR="00BA3EE7" w:rsidRPr="0035095E">
        <w:rPr>
          <w:rFonts w:ascii="Times New Roman" w:eastAsia="Times New Roman" w:hAnsi="Times New Roman" w:cs="Times New Roman"/>
          <w:sz w:val="20"/>
          <w:szCs w:val="20"/>
          <w:lang w:val="en-US"/>
        </w:rPr>
        <w:t xml:space="preserve"> some financial knowledge but</w:t>
      </w:r>
      <w:r w:rsidR="005A46F9" w:rsidRPr="0035095E">
        <w:rPr>
          <w:rFonts w:ascii="Times New Roman" w:eastAsia="Times New Roman" w:hAnsi="Times New Roman" w:cs="Times New Roman"/>
          <w:sz w:val="20"/>
          <w:szCs w:val="20"/>
          <w:lang w:val="en-US"/>
        </w:rPr>
        <w:t xml:space="preserve"> limited tax knowledge</w:t>
      </w:r>
      <w:r w:rsidR="00131EDB" w:rsidRPr="0035095E">
        <w:rPr>
          <w:rFonts w:ascii="Times New Roman" w:eastAsia="Times New Roman" w:hAnsi="Times New Roman" w:cs="Times New Roman"/>
          <w:sz w:val="20"/>
          <w:szCs w:val="20"/>
          <w:lang w:val="en-US"/>
        </w:rPr>
        <w:t xml:space="preserve"> </w:t>
      </w:r>
      <w:r w:rsidR="00AF021E" w:rsidRPr="0035095E">
        <w:rPr>
          <w:rFonts w:ascii="Times New Roman" w:eastAsia="Times New Roman" w:hAnsi="Times New Roman" w:cs="Times New Roman"/>
          <w:sz w:val="20"/>
          <w:szCs w:val="20"/>
          <w:lang w:val="en-US"/>
        </w:rPr>
        <w:t>and</w:t>
      </w:r>
      <w:r w:rsidR="00BA3EE7" w:rsidRPr="0035095E">
        <w:rPr>
          <w:rFonts w:ascii="Times New Roman" w:eastAsia="Times New Roman" w:hAnsi="Times New Roman" w:cs="Times New Roman"/>
          <w:sz w:val="20"/>
          <w:szCs w:val="20"/>
          <w:lang w:val="en-US"/>
        </w:rPr>
        <w:t xml:space="preserve"> perceive themselves to be able to handle basic tax matters</w:t>
      </w:r>
      <w:r w:rsidR="0078553E" w:rsidRPr="0035095E">
        <w:rPr>
          <w:rFonts w:ascii="Times New Roman" w:eastAsia="Times New Roman" w:hAnsi="Times New Roman" w:cs="Times New Roman"/>
          <w:sz w:val="20"/>
          <w:szCs w:val="20"/>
          <w:lang w:val="en-US"/>
        </w:rPr>
        <w:t xml:space="preserve">. </w:t>
      </w:r>
      <w:r w:rsidR="00BA3EE7" w:rsidRPr="0035095E">
        <w:rPr>
          <w:rFonts w:ascii="Times New Roman" w:eastAsia="Times New Roman" w:hAnsi="Times New Roman" w:cs="Times New Roman"/>
          <w:sz w:val="20"/>
          <w:szCs w:val="20"/>
          <w:lang w:val="en-US"/>
        </w:rPr>
        <w:t>Second</w:t>
      </w:r>
      <w:r w:rsidR="005A46F9" w:rsidRPr="0035095E">
        <w:rPr>
          <w:rFonts w:ascii="Times New Roman" w:eastAsia="Times New Roman" w:hAnsi="Times New Roman" w:cs="Times New Roman"/>
          <w:sz w:val="20"/>
          <w:szCs w:val="20"/>
          <w:lang w:val="en-US"/>
        </w:rPr>
        <w:t>, s</w:t>
      </w:r>
      <w:r w:rsidR="001C33CB" w:rsidRPr="0035095E">
        <w:rPr>
          <w:rFonts w:ascii="Times New Roman" w:eastAsia="Times New Roman" w:hAnsi="Times New Roman" w:cs="Times New Roman"/>
          <w:sz w:val="20"/>
          <w:szCs w:val="20"/>
          <w:lang w:val="en-US"/>
        </w:rPr>
        <w:t xml:space="preserve">tudents </w:t>
      </w:r>
      <w:r w:rsidR="002A5130" w:rsidRPr="0035095E">
        <w:rPr>
          <w:rFonts w:ascii="Times New Roman" w:eastAsia="Times New Roman" w:hAnsi="Times New Roman" w:cs="Times New Roman"/>
          <w:sz w:val="20"/>
          <w:szCs w:val="20"/>
          <w:lang w:val="en-US"/>
        </w:rPr>
        <w:t xml:space="preserve">who </w:t>
      </w:r>
      <w:r w:rsidR="00133C46" w:rsidRPr="0035095E">
        <w:rPr>
          <w:rFonts w:ascii="Times New Roman" w:eastAsia="Times New Roman" w:hAnsi="Times New Roman" w:cs="Times New Roman"/>
          <w:sz w:val="20"/>
          <w:szCs w:val="20"/>
          <w:lang w:val="en-US"/>
        </w:rPr>
        <w:t xml:space="preserve">have </w:t>
      </w:r>
      <w:r w:rsidR="00C01363" w:rsidRPr="0035095E">
        <w:rPr>
          <w:rFonts w:ascii="Times New Roman" w:eastAsia="Times New Roman" w:hAnsi="Times New Roman" w:cs="Times New Roman"/>
          <w:sz w:val="20"/>
          <w:szCs w:val="20"/>
          <w:lang w:val="en-US"/>
        </w:rPr>
        <w:t>some level of tax knowledge</w:t>
      </w:r>
      <w:r w:rsidR="001C33CB" w:rsidRPr="0035095E">
        <w:rPr>
          <w:rFonts w:ascii="Times New Roman" w:eastAsia="Times New Roman" w:hAnsi="Times New Roman" w:cs="Times New Roman"/>
          <w:bCs/>
          <w:sz w:val="20"/>
          <w:szCs w:val="20"/>
          <w:lang w:val="en-US"/>
        </w:rPr>
        <w:t xml:space="preserve"> may find tax rules overwhelming, especially </w:t>
      </w:r>
      <w:r w:rsidR="008830B3" w:rsidRPr="0035095E">
        <w:rPr>
          <w:rFonts w:ascii="Times New Roman" w:eastAsia="Times New Roman" w:hAnsi="Times New Roman" w:cs="Times New Roman"/>
          <w:bCs/>
          <w:sz w:val="20"/>
          <w:szCs w:val="20"/>
          <w:lang w:val="en-US"/>
        </w:rPr>
        <w:t xml:space="preserve">the </w:t>
      </w:r>
      <w:r w:rsidR="001C33CB" w:rsidRPr="0035095E">
        <w:rPr>
          <w:rFonts w:ascii="Times New Roman" w:eastAsia="Times New Roman" w:hAnsi="Times New Roman" w:cs="Times New Roman"/>
          <w:bCs/>
          <w:sz w:val="20"/>
          <w:szCs w:val="20"/>
          <w:lang w:val="en-US"/>
        </w:rPr>
        <w:t xml:space="preserve">young adults who do not have </w:t>
      </w:r>
      <w:r w:rsidR="008830B3" w:rsidRPr="0035095E">
        <w:rPr>
          <w:rFonts w:ascii="Times New Roman" w:eastAsia="Times New Roman" w:hAnsi="Times New Roman" w:cs="Times New Roman"/>
          <w:bCs/>
          <w:sz w:val="20"/>
          <w:szCs w:val="20"/>
          <w:lang w:val="en-US"/>
        </w:rPr>
        <w:t xml:space="preserve">many </w:t>
      </w:r>
      <w:r w:rsidR="001C33CB" w:rsidRPr="0035095E">
        <w:rPr>
          <w:rFonts w:ascii="Times New Roman" w:eastAsia="Times New Roman" w:hAnsi="Times New Roman" w:cs="Times New Roman"/>
          <w:bCs/>
          <w:sz w:val="20"/>
          <w:szCs w:val="20"/>
          <w:lang w:val="en-US"/>
        </w:rPr>
        <w:t xml:space="preserve">tax </w:t>
      </w:r>
      <w:r w:rsidR="00F61E68" w:rsidRPr="0035095E">
        <w:rPr>
          <w:rFonts w:ascii="Times New Roman" w:eastAsia="Times New Roman" w:hAnsi="Times New Roman" w:cs="Times New Roman"/>
          <w:bCs/>
          <w:sz w:val="20"/>
          <w:szCs w:val="20"/>
          <w:lang w:val="en-US"/>
        </w:rPr>
        <w:t xml:space="preserve">reporting </w:t>
      </w:r>
      <w:r w:rsidR="001C33CB" w:rsidRPr="0035095E">
        <w:rPr>
          <w:rFonts w:ascii="Times New Roman" w:eastAsia="Times New Roman" w:hAnsi="Times New Roman" w:cs="Times New Roman"/>
          <w:bCs/>
          <w:sz w:val="20"/>
          <w:szCs w:val="20"/>
          <w:lang w:val="en-US"/>
        </w:rPr>
        <w:t>experience</w:t>
      </w:r>
      <w:r w:rsidR="008830B3" w:rsidRPr="0035095E">
        <w:rPr>
          <w:rFonts w:ascii="Times New Roman" w:eastAsia="Times New Roman" w:hAnsi="Times New Roman" w:cs="Times New Roman"/>
          <w:bCs/>
          <w:sz w:val="20"/>
          <w:szCs w:val="20"/>
          <w:lang w:val="en-US"/>
        </w:rPr>
        <w:t>s</w:t>
      </w:r>
      <w:r w:rsidR="001C33CB" w:rsidRPr="0035095E">
        <w:rPr>
          <w:rFonts w:ascii="Times New Roman" w:eastAsia="Times New Roman" w:hAnsi="Times New Roman" w:cs="Times New Roman"/>
          <w:bCs/>
          <w:sz w:val="20"/>
          <w:szCs w:val="20"/>
          <w:lang w:val="en-US"/>
        </w:rPr>
        <w:t xml:space="preserve">. </w:t>
      </w:r>
      <w:r w:rsidR="00133C46" w:rsidRPr="0035095E">
        <w:rPr>
          <w:rFonts w:ascii="Times New Roman" w:eastAsia="Times New Roman" w:hAnsi="Times New Roman" w:cs="Times New Roman"/>
          <w:bCs/>
          <w:sz w:val="20"/>
          <w:szCs w:val="20"/>
          <w:lang w:val="en-US"/>
        </w:rPr>
        <w:t>As a result, they are likely to be intimidated by the intricate tax regulations</w:t>
      </w:r>
      <w:r w:rsidR="00BA3EE7" w:rsidRPr="0035095E">
        <w:rPr>
          <w:rFonts w:ascii="Times New Roman" w:eastAsia="Times New Roman" w:hAnsi="Times New Roman" w:cs="Times New Roman"/>
          <w:bCs/>
          <w:sz w:val="20"/>
          <w:szCs w:val="20"/>
          <w:lang w:val="en-US"/>
        </w:rPr>
        <w:t>. I</w:t>
      </w:r>
      <w:r w:rsidR="008025B8" w:rsidRPr="0035095E">
        <w:rPr>
          <w:rFonts w:ascii="Times New Roman" w:eastAsia="Times New Roman" w:hAnsi="Times New Roman" w:cs="Times New Roman"/>
          <w:bCs/>
          <w:sz w:val="20"/>
          <w:szCs w:val="20"/>
          <w:lang w:val="en-US"/>
        </w:rPr>
        <w:t>f</w:t>
      </w:r>
      <w:r w:rsidR="00BA3EE7" w:rsidRPr="0035095E">
        <w:rPr>
          <w:rFonts w:ascii="Times New Roman" w:eastAsia="Times New Roman" w:hAnsi="Times New Roman" w:cs="Times New Roman"/>
          <w:bCs/>
          <w:sz w:val="20"/>
          <w:szCs w:val="20"/>
          <w:lang w:val="en-US"/>
        </w:rPr>
        <w:t xml:space="preserve"> either case </w:t>
      </w:r>
      <w:r w:rsidR="008025B8" w:rsidRPr="0035095E">
        <w:rPr>
          <w:rFonts w:ascii="Times New Roman" w:eastAsia="Times New Roman" w:hAnsi="Times New Roman" w:cs="Times New Roman"/>
          <w:bCs/>
          <w:sz w:val="20"/>
          <w:szCs w:val="20"/>
          <w:lang w:val="en-US"/>
        </w:rPr>
        <w:t>is true for the respondents</w:t>
      </w:r>
      <w:r w:rsidR="00F61E68" w:rsidRPr="0035095E">
        <w:rPr>
          <w:rFonts w:ascii="Times New Roman" w:eastAsia="Times New Roman" w:hAnsi="Times New Roman" w:cs="Times New Roman"/>
          <w:bCs/>
          <w:sz w:val="20"/>
          <w:szCs w:val="20"/>
          <w:lang w:val="en-US"/>
        </w:rPr>
        <w:t>,</w:t>
      </w:r>
      <w:r w:rsidR="008025B8" w:rsidRPr="0035095E">
        <w:rPr>
          <w:rFonts w:ascii="Times New Roman" w:eastAsia="Times New Roman" w:hAnsi="Times New Roman" w:cs="Times New Roman"/>
          <w:bCs/>
          <w:sz w:val="20"/>
          <w:szCs w:val="20"/>
          <w:lang w:val="en-US"/>
        </w:rPr>
        <w:t xml:space="preserve"> </w:t>
      </w:r>
      <w:r w:rsidR="00BA3EE7" w:rsidRPr="0035095E">
        <w:rPr>
          <w:rFonts w:ascii="Times New Roman" w:eastAsia="Times New Roman" w:hAnsi="Times New Roman" w:cs="Times New Roman"/>
          <w:bCs/>
          <w:sz w:val="20"/>
          <w:szCs w:val="20"/>
          <w:lang w:val="en-US"/>
        </w:rPr>
        <w:t xml:space="preserve">the association between tax education and tax confidence may end up </w:t>
      </w:r>
      <w:r w:rsidR="008025B8" w:rsidRPr="0035095E">
        <w:rPr>
          <w:rFonts w:ascii="Times New Roman" w:eastAsia="Times New Roman" w:hAnsi="Times New Roman" w:cs="Times New Roman"/>
          <w:bCs/>
          <w:sz w:val="20"/>
          <w:szCs w:val="20"/>
          <w:lang w:val="en-US"/>
        </w:rPr>
        <w:t xml:space="preserve">being </w:t>
      </w:r>
      <w:r w:rsidR="00BA3EE7" w:rsidRPr="0035095E">
        <w:rPr>
          <w:rFonts w:ascii="Times New Roman" w:eastAsia="Times New Roman" w:hAnsi="Times New Roman" w:cs="Times New Roman"/>
          <w:bCs/>
          <w:sz w:val="20"/>
          <w:szCs w:val="20"/>
          <w:lang w:val="en-US"/>
        </w:rPr>
        <w:t>negative</w:t>
      </w:r>
      <w:r w:rsidR="00133C46" w:rsidRPr="0035095E">
        <w:rPr>
          <w:rFonts w:ascii="Times New Roman" w:eastAsia="Times New Roman" w:hAnsi="Times New Roman" w:cs="Times New Roman"/>
          <w:bCs/>
          <w:sz w:val="20"/>
          <w:szCs w:val="20"/>
          <w:lang w:val="en-US"/>
        </w:rPr>
        <w:t xml:space="preserve">. </w:t>
      </w:r>
      <w:r w:rsidR="0020528C" w:rsidRPr="0035095E">
        <w:rPr>
          <w:rFonts w:ascii="Times New Roman" w:eastAsia="Times New Roman" w:hAnsi="Times New Roman" w:cs="Times New Roman"/>
          <w:bCs/>
          <w:sz w:val="20"/>
          <w:szCs w:val="20"/>
          <w:lang w:val="en-US"/>
        </w:rPr>
        <w:t>O</w:t>
      </w:r>
      <w:r w:rsidR="0045159F" w:rsidRPr="0035095E">
        <w:rPr>
          <w:rFonts w:ascii="Times New Roman" w:eastAsia="Times New Roman" w:hAnsi="Times New Roman" w:cs="Times New Roman"/>
          <w:bCs/>
          <w:sz w:val="20"/>
          <w:szCs w:val="20"/>
          <w:lang w:val="en-US"/>
        </w:rPr>
        <w:t xml:space="preserve">ur </w:t>
      </w:r>
      <w:r w:rsidR="002B1E90" w:rsidRPr="0035095E">
        <w:rPr>
          <w:rFonts w:ascii="Times New Roman" w:eastAsia="Times New Roman" w:hAnsi="Times New Roman" w:cs="Times New Roman"/>
          <w:bCs/>
          <w:sz w:val="20"/>
          <w:szCs w:val="20"/>
          <w:lang w:val="en-US"/>
        </w:rPr>
        <w:t xml:space="preserve">second </w:t>
      </w:r>
      <w:r w:rsidR="0045159F" w:rsidRPr="0035095E">
        <w:rPr>
          <w:rFonts w:ascii="Times New Roman" w:eastAsia="Times New Roman" w:hAnsi="Times New Roman" w:cs="Times New Roman"/>
          <w:bCs/>
          <w:sz w:val="20"/>
          <w:szCs w:val="20"/>
          <w:lang w:val="en-US"/>
        </w:rPr>
        <w:t xml:space="preserve">hypothesis </w:t>
      </w:r>
      <w:r w:rsidR="0020528C" w:rsidRPr="0035095E">
        <w:rPr>
          <w:rFonts w:ascii="Times New Roman" w:eastAsia="Times New Roman" w:hAnsi="Times New Roman" w:cs="Times New Roman"/>
          <w:bCs/>
          <w:sz w:val="20"/>
          <w:szCs w:val="20"/>
          <w:lang w:val="en-US"/>
        </w:rPr>
        <w:t xml:space="preserve">is </w:t>
      </w:r>
      <w:r w:rsidR="0045159F" w:rsidRPr="0035095E">
        <w:rPr>
          <w:rFonts w:ascii="Times New Roman" w:eastAsia="Times New Roman" w:hAnsi="Times New Roman" w:cs="Times New Roman"/>
          <w:bCs/>
          <w:sz w:val="20"/>
          <w:szCs w:val="20"/>
          <w:lang w:val="en-US"/>
        </w:rPr>
        <w:t>as foll</w:t>
      </w:r>
      <w:r w:rsidR="006E284D" w:rsidRPr="0035095E">
        <w:rPr>
          <w:rFonts w:ascii="Times New Roman" w:eastAsia="Times New Roman" w:hAnsi="Times New Roman" w:cs="Times New Roman"/>
          <w:bCs/>
          <w:sz w:val="20"/>
          <w:szCs w:val="20"/>
          <w:lang w:val="en-US"/>
        </w:rPr>
        <w:t>o</w:t>
      </w:r>
      <w:r w:rsidR="0045159F" w:rsidRPr="0035095E">
        <w:rPr>
          <w:rFonts w:ascii="Times New Roman" w:eastAsia="Times New Roman" w:hAnsi="Times New Roman" w:cs="Times New Roman"/>
          <w:bCs/>
          <w:sz w:val="20"/>
          <w:szCs w:val="20"/>
          <w:lang w:val="en-US"/>
        </w:rPr>
        <w:t>ws:</w:t>
      </w:r>
      <w:r w:rsidR="0035095E">
        <w:rPr>
          <w:rFonts w:ascii="Times New Roman" w:eastAsia="Times New Roman" w:hAnsi="Times New Roman" w:cs="Times New Roman"/>
          <w:bCs/>
          <w:sz w:val="20"/>
          <w:szCs w:val="20"/>
          <w:lang w:val="en-US"/>
        </w:rPr>
        <w:t xml:space="preserve">  </w:t>
      </w:r>
    </w:p>
    <w:p w14:paraId="1A4F14B7" w14:textId="77777777" w:rsidR="00C45D4F" w:rsidRDefault="00C45D4F" w:rsidP="00C45D4F">
      <w:pPr>
        <w:rPr>
          <w:rFonts w:ascii="Times New Roman" w:eastAsia="Times New Roman" w:hAnsi="Times New Roman" w:cs="Times New Roman"/>
          <w:bCs/>
          <w:sz w:val="20"/>
          <w:szCs w:val="20"/>
          <w:lang w:val="en-US"/>
        </w:rPr>
      </w:pPr>
    </w:p>
    <w:p w14:paraId="54A79683" w14:textId="2B614CF3" w:rsidR="00F250F6" w:rsidRPr="0035095E" w:rsidRDefault="00A87CDC" w:rsidP="00C45D4F">
      <w:pPr>
        <w:rPr>
          <w:rFonts w:ascii="Times New Roman" w:eastAsia="Times New Roman" w:hAnsi="Times New Roman" w:cs="Times New Roman"/>
          <w:sz w:val="20"/>
          <w:szCs w:val="20"/>
          <w:lang w:val="en-US"/>
        </w:rPr>
      </w:pPr>
      <w:r w:rsidRPr="0035095E">
        <w:rPr>
          <w:rFonts w:ascii="Times New Roman" w:eastAsia="Times New Roman" w:hAnsi="Times New Roman" w:cs="Times New Roman"/>
          <w:b/>
          <w:sz w:val="20"/>
          <w:szCs w:val="20"/>
          <w:lang w:val="en-US"/>
        </w:rPr>
        <w:t>H</w:t>
      </w:r>
      <w:r w:rsidR="0080088C" w:rsidRPr="0035095E">
        <w:rPr>
          <w:rFonts w:ascii="Times New Roman" w:eastAsia="Times New Roman" w:hAnsi="Times New Roman" w:cs="Times New Roman"/>
          <w:b/>
          <w:sz w:val="20"/>
          <w:szCs w:val="20"/>
          <w:lang w:val="en-US"/>
        </w:rPr>
        <w:t>2</w:t>
      </w:r>
      <w:r w:rsidR="00F250F6" w:rsidRPr="0035095E">
        <w:rPr>
          <w:rFonts w:ascii="Times New Roman" w:eastAsia="Times New Roman" w:hAnsi="Times New Roman" w:cs="Times New Roman"/>
          <w:b/>
          <w:sz w:val="20"/>
          <w:szCs w:val="20"/>
          <w:lang w:val="en-US"/>
        </w:rPr>
        <w:t>:</w:t>
      </w:r>
      <w:r w:rsidR="00F250F6" w:rsidRPr="0035095E">
        <w:rPr>
          <w:rFonts w:ascii="Times New Roman" w:eastAsia="Times New Roman" w:hAnsi="Times New Roman" w:cs="Times New Roman"/>
          <w:sz w:val="20"/>
          <w:szCs w:val="20"/>
          <w:lang w:val="en-US"/>
        </w:rPr>
        <w:t xml:space="preserve"> Tax confidence is positively associated with </w:t>
      </w:r>
      <w:r w:rsidR="006549E3" w:rsidRPr="0035095E">
        <w:rPr>
          <w:rFonts w:ascii="Times New Roman" w:eastAsia="Times New Roman" w:hAnsi="Times New Roman" w:cs="Times New Roman"/>
          <w:sz w:val="20"/>
          <w:szCs w:val="20"/>
          <w:lang w:val="en-US"/>
        </w:rPr>
        <w:t xml:space="preserve">tax and </w:t>
      </w:r>
      <w:r w:rsidR="00F250F6" w:rsidRPr="0035095E">
        <w:rPr>
          <w:rFonts w:ascii="Times New Roman" w:eastAsia="Times New Roman" w:hAnsi="Times New Roman" w:cs="Times New Roman"/>
          <w:sz w:val="20"/>
          <w:szCs w:val="20"/>
          <w:lang w:val="en-US"/>
        </w:rPr>
        <w:t xml:space="preserve">accounting education, </w:t>
      </w:r>
      <w:r w:rsidR="004F1CCA" w:rsidRPr="0035095E">
        <w:rPr>
          <w:rFonts w:ascii="Times New Roman" w:eastAsia="Times New Roman" w:hAnsi="Times New Roman" w:cs="Times New Roman"/>
          <w:sz w:val="20"/>
          <w:szCs w:val="20"/>
          <w:lang w:val="en-US"/>
        </w:rPr>
        <w:t xml:space="preserve">after </w:t>
      </w:r>
      <w:proofErr w:type="gramStart"/>
      <w:r w:rsidR="00F250F6" w:rsidRPr="0035095E">
        <w:rPr>
          <w:rFonts w:ascii="Times New Roman" w:eastAsia="Times New Roman" w:hAnsi="Times New Roman" w:cs="Times New Roman"/>
          <w:sz w:val="20"/>
          <w:szCs w:val="20"/>
          <w:lang w:val="en-US"/>
        </w:rPr>
        <w:t>controlling for</w:t>
      </w:r>
      <w:proofErr w:type="gramEnd"/>
      <w:r w:rsidR="00F250F6" w:rsidRPr="0035095E">
        <w:rPr>
          <w:rFonts w:ascii="Times New Roman" w:eastAsia="Times New Roman" w:hAnsi="Times New Roman" w:cs="Times New Roman"/>
          <w:sz w:val="20"/>
          <w:szCs w:val="20"/>
          <w:lang w:val="en-US"/>
        </w:rPr>
        <w:t xml:space="preserve"> </w:t>
      </w:r>
      <w:r w:rsidR="004F1CCA" w:rsidRPr="0035095E">
        <w:rPr>
          <w:rFonts w:ascii="Times New Roman" w:eastAsia="Times New Roman" w:hAnsi="Times New Roman" w:cs="Times New Roman"/>
          <w:sz w:val="20"/>
          <w:szCs w:val="20"/>
          <w:lang w:val="en-US"/>
        </w:rPr>
        <w:t xml:space="preserve">tax literacy, </w:t>
      </w:r>
      <w:r w:rsidR="00F250F6" w:rsidRPr="0035095E">
        <w:rPr>
          <w:rFonts w:ascii="Times New Roman" w:eastAsia="Times New Roman" w:hAnsi="Times New Roman" w:cs="Times New Roman"/>
          <w:sz w:val="20"/>
          <w:szCs w:val="20"/>
          <w:lang w:val="en-US"/>
        </w:rPr>
        <w:t>financial literacy, financial confidence, and various socio-economic factors.</w:t>
      </w:r>
      <w:r w:rsidR="0035095E">
        <w:rPr>
          <w:rFonts w:ascii="Times New Roman" w:eastAsia="Times New Roman" w:hAnsi="Times New Roman" w:cs="Times New Roman"/>
          <w:sz w:val="20"/>
          <w:szCs w:val="20"/>
          <w:lang w:val="en-US"/>
        </w:rPr>
        <w:t xml:space="preserve">  </w:t>
      </w:r>
    </w:p>
    <w:p w14:paraId="2FC3ED55" w14:textId="26114789" w:rsidR="009E5C67" w:rsidRPr="0035095E" w:rsidRDefault="009E5C67" w:rsidP="00C45D4F">
      <w:pPr>
        <w:rPr>
          <w:rFonts w:ascii="Times New Roman" w:eastAsia="Times New Roman" w:hAnsi="Times New Roman" w:cs="Times New Roman"/>
          <w:sz w:val="20"/>
          <w:szCs w:val="20"/>
          <w:lang w:val="en-US"/>
        </w:rPr>
      </w:pPr>
    </w:p>
    <w:p w14:paraId="5D1B62DC" w14:textId="77777777" w:rsidR="002063D2" w:rsidRDefault="002063D2">
      <w:pPr>
        <w:rPr>
          <w:rFonts w:ascii="Times New Roman" w:hAnsi="Times New Roman" w:cs="Times New Roman"/>
          <w:b/>
          <w:bCs/>
          <w:sz w:val="20"/>
          <w:szCs w:val="20"/>
          <w:lang w:val="en-US"/>
        </w:rPr>
      </w:pPr>
      <w:r>
        <w:rPr>
          <w:rFonts w:ascii="Times New Roman" w:hAnsi="Times New Roman" w:cs="Times New Roman"/>
          <w:b/>
          <w:bCs/>
          <w:sz w:val="20"/>
          <w:szCs w:val="20"/>
          <w:lang w:val="en-US"/>
        </w:rPr>
        <w:br w:type="page"/>
      </w:r>
    </w:p>
    <w:p w14:paraId="2E0DE08B" w14:textId="7DB3283B" w:rsidR="00F00B4C" w:rsidRDefault="00F00B4C" w:rsidP="00C45D4F">
      <w:pPr>
        <w:rPr>
          <w:rFonts w:ascii="Times New Roman" w:hAnsi="Times New Roman" w:cs="Times New Roman"/>
          <w:b/>
          <w:bCs/>
          <w:sz w:val="20"/>
          <w:szCs w:val="20"/>
          <w:lang w:val="en-US"/>
        </w:rPr>
      </w:pPr>
      <w:r w:rsidRPr="0035095E">
        <w:rPr>
          <w:rFonts w:ascii="Times New Roman" w:hAnsi="Times New Roman" w:cs="Times New Roman"/>
          <w:b/>
          <w:bCs/>
          <w:sz w:val="20"/>
          <w:szCs w:val="20"/>
          <w:lang w:val="en-US"/>
        </w:rPr>
        <w:lastRenderedPageBreak/>
        <w:t>Survey Structure</w:t>
      </w:r>
      <w:r w:rsidR="009A5ADF" w:rsidRPr="0035095E">
        <w:rPr>
          <w:rFonts w:ascii="Times New Roman" w:hAnsi="Times New Roman" w:cs="Times New Roman"/>
          <w:b/>
          <w:bCs/>
          <w:sz w:val="20"/>
          <w:szCs w:val="20"/>
          <w:lang w:val="en-US"/>
        </w:rPr>
        <w:t xml:space="preserve"> </w:t>
      </w:r>
      <w:r w:rsidR="00A019A5" w:rsidRPr="0035095E">
        <w:rPr>
          <w:rFonts w:ascii="Times New Roman" w:hAnsi="Times New Roman" w:cs="Times New Roman"/>
          <w:b/>
          <w:bCs/>
          <w:sz w:val="20"/>
          <w:szCs w:val="20"/>
          <w:lang w:val="en-US"/>
        </w:rPr>
        <w:t>and</w:t>
      </w:r>
      <w:r w:rsidR="009A5ADF" w:rsidRPr="0035095E">
        <w:rPr>
          <w:rFonts w:ascii="Times New Roman" w:hAnsi="Times New Roman" w:cs="Times New Roman"/>
          <w:b/>
          <w:bCs/>
          <w:sz w:val="20"/>
          <w:szCs w:val="20"/>
          <w:lang w:val="en-US"/>
        </w:rPr>
        <w:t xml:space="preserve"> Sampling Process</w:t>
      </w:r>
    </w:p>
    <w:p w14:paraId="563B82A5" w14:textId="77777777" w:rsidR="0035095E" w:rsidRPr="0035095E" w:rsidRDefault="0035095E" w:rsidP="00C45D4F">
      <w:pPr>
        <w:rPr>
          <w:rFonts w:ascii="Times New Roman" w:hAnsi="Times New Roman" w:cs="Times New Roman"/>
          <w:b/>
          <w:bCs/>
          <w:sz w:val="20"/>
          <w:szCs w:val="20"/>
          <w:lang w:val="en-US"/>
        </w:rPr>
      </w:pPr>
    </w:p>
    <w:p w14:paraId="21855D8D" w14:textId="4CD4CADB" w:rsidR="001C4121" w:rsidRDefault="001C4121" w:rsidP="00C45D4F">
      <w:pPr>
        <w:rPr>
          <w:rFonts w:ascii="Times New Roman" w:hAnsi="Times New Roman" w:cs="Times New Roman"/>
          <w:color w:val="000000" w:themeColor="text1"/>
          <w:sz w:val="20"/>
          <w:szCs w:val="20"/>
          <w:lang w:val="en-US"/>
        </w:rPr>
      </w:pPr>
      <w:r w:rsidRPr="0035095E">
        <w:rPr>
          <w:rFonts w:ascii="Times New Roman" w:hAnsi="Times New Roman" w:cs="Times New Roman"/>
          <w:sz w:val="20"/>
          <w:szCs w:val="20"/>
          <w:lang w:val="en-US"/>
        </w:rPr>
        <w:t xml:space="preserve">The survey </w:t>
      </w:r>
      <w:r w:rsidR="002050DA" w:rsidRPr="0035095E">
        <w:rPr>
          <w:rFonts w:ascii="Times New Roman" w:hAnsi="Times New Roman" w:cs="Times New Roman"/>
          <w:sz w:val="20"/>
          <w:szCs w:val="20"/>
          <w:lang w:val="en-US"/>
        </w:rPr>
        <w:t>wa</w:t>
      </w:r>
      <w:r w:rsidRPr="0035095E">
        <w:rPr>
          <w:rFonts w:ascii="Times New Roman" w:hAnsi="Times New Roman" w:cs="Times New Roman"/>
          <w:sz w:val="20"/>
          <w:szCs w:val="20"/>
          <w:lang w:val="en-US"/>
        </w:rPr>
        <w:t xml:space="preserve">s </w:t>
      </w:r>
      <w:r w:rsidR="00A87CDC" w:rsidRPr="0035095E">
        <w:rPr>
          <w:rFonts w:ascii="Times New Roman" w:hAnsi="Times New Roman" w:cs="Times New Roman"/>
          <w:sz w:val="20"/>
          <w:szCs w:val="20"/>
          <w:lang w:val="en-US"/>
        </w:rPr>
        <w:t>at a private college</w:t>
      </w:r>
      <w:r w:rsidR="00664EE8" w:rsidRPr="0035095E">
        <w:rPr>
          <w:rFonts w:ascii="Times New Roman" w:hAnsi="Times New Roman" w:cs="Times New Roman"/>
          <w:sz w:val="20"/>
          <w:szCs w:val="20"/>
          <w:lang w:val="en-US"/>
        </w:rPr>
        <w:t xml:space="preserve"> of approximately 3,000 undergraduate students and 500 graduate students</w:t>
      </w:r>
      <w:r w:rsidR="00A87CDC" w:rsidRPr="0035095E">
        <w:rPr>
          <w:rFonts w:ascii="Times New Roman" w:hAnsi="Times New Roman" w:cs="Times New Roman"/>
          <w:sz w:val="20"/>
          <w:szCs w:val="20"/>
          <w:lang w:val="en-US"/>
        </w:rPr>
        <w:t xml:space="preserve"> in New York City</w:t>
      </w:r>
      <w:r w:rsidR="00AF3F06" w:rsidRPr="0035095E">
        <w:rPr>
          <w:rFonts w:ascii="Times New Roman" w:hAnsi="Times New Roman" w:cs="Times New Roman"/>
          <w:sz w:val="20"/>
          <w:szCs w:val="20"/>
          <w:lang w:val="en-US"/>
        </w:rPr>
        <w:t xml:space="preserve">. </w:t>
      </w:r>
      <w:r w:rsidR="00FE4734" w:rsidRPr="0035095E">
        <w:rPr>
          <w:rFonts w:ascii="Times New Roman" w:hAnsi="Times New Roman" w:cs="Times New Roman"/>
          <w:sz w:val="20"/>
          <w:szCs w:val="20"/>
          <w:lang w:val="en-US"/>
        </w:rPr>
        <w:t>It is a liberal arts college with six schools and graduate programs. The survey</w:t>
      </w:r>
      <w:r w:rsidR="00EB481C" w:rsidRPr="0035095E">
        <w:rPr>
          <w:rFonts w:ascii="Times New Roman" w:hAnsi="Times New Roman" w:cs="Times New Roman"/>
          <w:sz w:val="20"/>
          <w:szCs w:val="20"/>
          <w:lang w:val="en-US"/>
        </w:rPr>
        <w:t xml:space="preserve"> was first </w:t>
      </w:r>
      <w:proofErr w:type="gramStart"/>
      <w:r w:rsidR="00EB481C" w:rsidRPr="0035095E">
        <w:rPr>
          <w:rFonts w:ascii="Times New Roman" w:hAnsi="Times New Roman" w:cs="Times New Roman"/>
          <w:sz w:val="20"/>
          <w:szCs w:val="20"/>
          <w:lang w:val="en-US"/>
        </w:rPr>
        <w:t>administered</w:t>
      </w:r>
      <w:proofErr w:type="gramEnd"/>
      <w:r w:rsidR="00EB481C" w:rsidRPr="0035095E">
        <w:rPr>
          <w:rFonts w:ascii="Times New Roman" w:hAnsi="Times New Roman" w:cs="Times New Roman"/>
          <w:sz w:val="20"/>
          <w:szCs w:val="20"/>
          <w:lang w:val="en-US"/>
        </w:rPr>
        <w:t xml:space="preserve"> in the second half of 2020. </w:t>
      </w:r>
      <w:r w:rsidR="00AF3F06" w:rsidRPr="0035095E">
        <w:rPr>
          <w:rFonts w:ascii="Times New Roman" w:hAnsi="Times New Roman" w:cs="Times New Roman"/>
          <w:sz w:val="20"/>
          <w:szCs w:val="20"/>
          <w:lang w:val="en-US"/>
        </w:rPr>
        <w:t>A five-participant</w:t>
      </w:r>
      <w:r w:rsidR="007D28C9" w:rsidRPr="0035095E">
        <w:rPr>
          <w:rFonts w:ascii="Times New Roman" w:hAnsi="Times New Roman" w:cs="Times New Roman"/>
          <w:sz w:val="20"/>
          <w:szCs w:val="20"/>
          <w:lang w:val="en-US"/>
        </w:rPr>
        <w:t xml:space="preserve"> </w:t>
      </w:r>
      <w:r w:rsidR="00AF3F06" w:rsidRPr="0035095E">
        <w:rPr>
          <w:rFonts w:ascii="Times New Roman" w:hAnsi="Times New Roman" w:cs="Times New Roman"/>
          <w:sz w:val="20"/>
          <w:szCs w:val="20"/>
          <w:lang w:val="en-US"/>
        </w:rPr>
        <w:t xml:space="preserve">pilot survey </w:t>
      </w:r>
      <w:r w:rsidR="002050DA" w:rsidRPr="0035095E">
        <w:rPr>
          <w:rFonts w:ascii="Times New Roman" w:hAnsi="Times New Roman" w:cs="Times New Roman"/>
          <w:sz w:val="20"/>
          <w:szCs w:val="20"/>
          <w:lang w:val="en-US"/>
        </w:rPr>
        <w:t>wa</w:t>
      </w:r>
      <w:r w:rsidR="00AF3F06" w:rsidRPr="0035095E">
        <w:rPr>
          <w:rFonts w:ascii="Times New Roman" w:hAnsi="Times New Roman" w:cs="Times New Roman"/>
          <w:sz w:val="20"/>
          <w:szCs w:val="20"/>
          <w:lang w:val="en-US"/>
        </w:rPr>
        <w:t>s conducted to seek respondent</w:t>
      </w:r>
      <w:r w:rsidR="00265784" w:rsidRPr="0035095E">
        <w:rPr>
          <w:rFonts w:ascii="Times New Roman" w:hAnsi="Times New Roman" w:cs="Times New Roman"/>
          <w:sz w:val="20"/>
          <w:szCs w:val="20"/>
          <w:lang w:val="en-US"/>
        </w:rPr>
        <w:t>s’</w:t>
      </w:r>
      <w:r w:rsidR="00AF3F06" w:rsidRPr="0035095E">
        <w:rPr>
          <w:rFonts w:ascii="Times New Roman" w:hAnsi="Times New Roman" w:cs="Times New Roman"/>
          <w:sz w:val="20"/>
          <w:szCs w:val="20"/>
          <w:lang w:val="en-US"/>
        </w:rPr>
        <w:t xml:space="preserve"> feedback before the survey </w:t>
      </w:r>
      <w:r w:rsidR="002050DA" w:rsidRPr="0035095E">
        <w:rPr>
          <w:rFonts w:ascii="Times New Roman" w:hAnsi="Times New Roman" w:cs="Times New Roman"/>
          <w:sz w:val="20"/>
          <w:szCs w:val="20"/>
          <w:lang w:val="en-US"/>
        </w:rPr>
        <w:t>wa</w:t>
      </w:r>
      <w:r w:rsidR="00AF3F06" w:rsidRPr="0035095E">
        <w:rPr>
          <w:rFonts w:ascii="Times New Roman" w:hAnsi="Times New Roman" w:cs="Times New Roman"/>
          <w:sz w:val="20"/>
          <w:szCs w:val="20"/>
          <w:lang w:val="en-US"/>
        </w:rPr>
        <w:t>s finalized and launched.</w:t>
      </w:r>
      <w:r w:rsidR="000765BC" w:rsidRPr="0035095E">
        <w:rPr>
          <w:rStyle w:val="FootnoteReference"/>
          <w:rFonts w:ascii="Times New Roman" w:hAnsi="Times New Roman" w:cs="Times New Roman"/>
          <w:sz w:val="20"/>
          <w:szCs w:val="20"/>
          <w:lang w:val="en-US"/>
        </w:rPr>
        <w:footnoteReference w:id="5"/>
      </w:r>
      <w:r w:rsidR="00AF3F06" w:rsidRPr="0035095E">
        <w:rPr>
          <w:rFonts w:ascii="Times New Roman" w:hAnsi="Times New Roman" w:cs="Times New Roman"/>
          <w:sz w:val="20"/>
          <w:szCs w:val="20"/>
          <w:lang w:val="en-US"/>
        </w:rPr>
        <w:t xml:space="preserve"> The finalized survey </w:t>
      </w:r>
      <w:r w:rsidR="002050DA" w:rsidRPr="0035095E">
        <w:rPr>
          <w:rFonts w:ascii="Times New Roman" w:hAnsi="Times New Roman" w:cs="Times New Roman"/>
          <w:sz w:val="20"/>
          <w:szCs w:val="20"/>
          <w:lang w:val="en-US"/>
        </w:rPr>
        <w:t>wa</w:t>
      </w:r>
      <w:r w:rsidR="00AF3F06" w:rsidRPr="0035095E">
        <w:rPr>
          <w:rFonts w:ascii="Times New Roman" w:hAnsi="Times New Roman" w:cs="Times New Roman"/>
          <w:sz w:val="20"/>
          <w:szCs w:val="20"/>
          <w:lang w:val="en-US"/>
        </w:rPr>
        <w:t>s conducted</w:t>
      </w:r>
      <w:r w:rsidR="001F0447" w:rsidRPr="0035095E">
        <w:rPr>
          <w:rFonts w:ascii="Times New Roman" w:hAnsi="Times New Roman" w:cs="Times New Roman"/>
          <w:sz w:val="20"/>
          <w:szCs w:val="20"/>
          <w:lang w:val="en-US"/>
        </w:rPr>
        <w:t xml:space="preserve"> </w:t>
      </w:r>
      <w:r w:rsidR="00910989" w:rsidRPr="0035095E">
        <w:rPr>
          <w:rFonts w:ascii="Times New Roman" w:hAnsi="Times New Roman" w:cs="Times New Roman"/>
          <w:sz w:val="20"/>
          <w:szCs w:val="20"/>
          <w:lang w:val="en-US"/>
        </w:rPr>
        <w:t xml:space="preserve">anonymously </w:t>
      </w:r>
      <w:r w:rsidRPr="0035095E">
        <w:rPr>
          <w:rFonts w:ascii="Times New Roman" w:hAnsi="Times New Roman" w:cs="Times New Roman"/>
          <w:sz w:val="20"/>
          <w:szCs w:val="20"/>
          <w:lang w:val="en-US"/>
        </w:rPr>
        <w:t>using Qualtrics, an online</w:t>
      </w:r>
      <w:r w:rsidR="00C81F5A" w:rsidRPr="0035095E">
        <w:rPr>
          <w:rFonts w:ascii="Times New Roman" w:hAnsi="Times New Roman" w:cs="Times New Roman"/>
          <w:sz w:val="20"/>
          <w:szCs w:val="20"/>
          <w:lang w:val="en-US"/>
        </w:rPr>
        <w:t xml:space="preserve"> </w:t>
      </w:r>
      <w:r w:rsidRPr="0035095E">
        <w:rPr>
          <w:rFonts w:ascii="Times New Roman" w:hAnsi="Times New Roman" w:cs="Times New Roman"/>
          <w:sz w:val="20"/>
          <w:szCs w:val="20"/>
          <w:lang w:val="en-US"/>
        </w:rPr>
        <w:t xml:space="preserve">polling application available to </w:t>
      </w:r>
      <w:r w:rsidR="00A87CDC" w:rsidRPr="0035095E">
        <w:rPr>
          <w:rFonts w:ascii="Times New Roman" w:hAnsi="Times New Roman" w:cs="Times New Roman"/>
          <w:sz w:val="20"/>
          <w:szCs w:val="20"/>
          <w:lang w:val="en-US"/>
        </w:rPr>
        <w:t xml:space="preserve">these </w:t>
      </w:r>
      <w:r w:rsidRPr="0035095E">
        <w:rPr>
          <w:rFonts w:ascii="Times New Roman" w:hAnsi="Times New Roman" w:cs="Times New Roman"/>
          <w:sz w:val="20"/>
          <w:szCs w:val="20"/>
          <w:lang w:val="en-US"/>
        </w:rPr>
        <w:t xml:space="preserve">students. Once </w:t>
      </w:r>
      <w:r w:rsidR="008B6BA9" w:rsidRPr="0035095E">
        <w:rPr>
          <w:rFonts w:ascii="Times New Roman" w:hAnsi="Times New Roman" w:cs="Times New Roman"/>
          <w:sz w:val="20"/>
          <w:szCs w:val="20"/>
          <w:lang w:val="en-US"/>
        </w:rPr>
        <w:t>launched</w:t>
      </w:r>
      <w:r w:rsidRPr="0035095E">
        <w:rPr>
          <w:rFonts w:ascii="Times New Roman" w:hAnsi="Times New Roman" w:cs="Times New Roman"/>
          <w:sz w:val="20"/>
          <w:szCs w:val="20"/>
          <w:lang w:val="en-US"/>
        </w:rPr>
        <w:t xml:space="preserve">, the </w:t>
      </w:r>
      <w:r w:rsidR="001F0447" w:rsidRPr="0035095E">
        <w:rPr>
          <w:rFonts w:ascii="Times New Roman" w:hAnsi="Times New Roman" w:cs="Times New Roman"/>
          <w:sz w:val="20"/>
          <w:szCs w:val="20"/>
          <w:lang w:val="en-US"/>
        </w:rPr>
        <w:t xml:space="preserve">link </w:t>
      </w:r>
      <w:r w:rsidR="002050DA" w:rsidRPr="0035095E">
        <w:rPr>
          <w:rFonts w:ascii="Times New Roman" w:hAnsi="Times New Roman" w:cs="Times New Roman"/>
          <w:sz w:val="20"/>
          <w:szCs w:val="20"/>
          <w:lang w:val="en-US"/>
        </w:rPr>
        <w:t>wa</w:t>
      </w:r>
      <w:r w:rsidR="001F0447" w:rsidRPr="0035095E">
        <w:rPr>
          <w:rFonts w:ascii="Times New Roman" w:hAnsi="Times New Roman" w:cs="Times New Roman"/>
          <w:sz w:val="20"/>
          <w:szCs w:val="20"/>
          <w:lang w:val="en-US"/>
        </w:rPr>
        <w:t xml:space="preserve">s circulated via </w:t>
      </w:r>
      <w:r w:rsidR="00D658A5" w:rsidRPr="0035095E">
        <w:rPr>
          <w:rFonts w:ascii="Times New Roman" w:hAnsi="Times New Roman" w:cs="Times New Roman"/>
          <w:sz w:val="20"/>
          <w:szCs w:val="20"/>
          <w:lang w:val="en-US"/>
        </w:rPr>
        <w:t xml:space="preserve">daily school-wide announcement </w:t>
      </w:r>
      <w:r w:rsidR="001F0447" w:rsidRPr="0035095E">
        <w:rPr>
          <w:rFonts w:ascii="Times New Roman" w:hAnsi="Times New Roman" w:cs="Times New Roman"/>
          <w:sz w:val="20"/>
          <w:szCs w:val="20"/>
          <w:lang w:val="en-US"/>
        </w:rPr>
        <w:t>email</w:t>
      </w:r>
      <w:r w:rsidR="00D658A5" w:rsidRPr="0035095E">
        <w:rPr>
          <w:rFonts w:ascii="Times New Roman" w:hAnsi="Times New Roman" w:cs="Times New Roman"/>
          <w:sz w:val="20"/>
          <w:szCs w:val="20"/>
          <w:lang w:val="en-US"/>
        </w:rPr>
        <w:t>s</w:t>
      </w:r>
      <w:r w:rsidR="001F0447" w:rsidRPr="0035095E">
        <w:rPr>
          <w:rFonts w:ascii="Times New Roman" w:hAnsi="Times New Roman" w:cs="Times New Roman"/>
          <w:sz w:val="20"/>
          <w:szCs w:val="20"/>
          <w:lang w:val="en-US"/>
        </w:rPr>
        <w:t xml:space="preserve"> to all students</w:t>
      </w:r>
      <w:r w:rsidR="00D5311F" w:rsidRPr="0035095E">
        <w:rPr>
          <w:rFonts w:ascii="Times New Roman" w:hAnsi="Times New Roman" w:cs="Times New Roman"/>
          <w:sz w:val="20"/>
          <w:szCs w:val="20"/>
          <w:lang w:val="en-US"/>
        </w:rPr>
        <w:t xml:space="preserve"> </w:t>
      </w:r>
      <w:r w:rsidR="008B6BA9" w:rsidRPr="0035095E">
        <w:rPr>
          <w:rFonts w:ascii="Times New Roman" w:hAnsi="Times New Roman" w:cs="Times New Roman"/>
          <w:sz w:val="20"/>
          <w:szCs w:val="20"/>
          <w:lang w:val="en-US"/>
        </w:rPr>
        <w:t>at</w:t>
      </w:r>
      <w:r w:rsidR="00D5311F" w:rsidRPr="0035095E">
        <w:rPr>
          <w:rFonts w:ascii="Times New Roman" w:hAnsi="Times New Roman" w:cs="Times New Roman"/>
          <w:sz w:val="20"/>
          <w:szCs w:val="20"/>
          <w:lang w:val="en-US"/>
        </w:rPr>
        <w:t xml:space="preserve"> the college</w:t>
      </w:r>
      <w:r w:rsidR="001F0447" w:rsidRPr="0035095E">
        <w:rPr>
          <w:rFonts w:ascii="Times New Roman" w:hAnsi="Times New Roman" w:cs="Times New Roman"/>
          <w:sz w:val="20"/>
          <w:szCs w:val="20"/>
          <w:lang w:val="en-US"/>
        </w:rPr>
        <w:t xml:space="preserve">. Fliers advertising the survey </w:t>
      </w:r>
      <w:r w:rsidR="002050DA" w:rsidRPr="0035095E">
        <w:rPr>
          <w:rFonts w:ascii="Times New Roman" w:hAnsi="Times New Roman" w:cs="Times New Roman"/>
          <w:sz w:val="20"/>
          <w:szCs w:val="20"/>
          <w:lang w:val="en-US"/>
        </w:rPr>
        <w:t>were</w:t>
      </w:r>
      <w:r w:rsidR="001F0447" w:rsidRPr="0035095E">
        <w:rPr>
          <w:rFonts w:ascii="Times New Roman" w:hAnsi="Times New Roman" w:cs="Times New Roman"/>
          <w:sz w:val="20"/>
          <w:szCs w:val="20"/>
          <w:lang w:val="en-US"/>
        </w:rPr>
        <w:t xml:space="preserve"> also posted around campus. However, the survey </w:t>
      </w:r>
      <w:r w:rsidR="002050DA" w:rsidRPr="0035095E">
        <w:rPr>
          <w:rFonts w:ascii="Times New Roman" w:hAnsi="Times New Roman" w:cs="Times New Roman"/>
          <w:sz w:val="20"/>
          <w:szCs w:val="20"/>
          <w:lang w:val="en-US"/>
        </w:rPr>
        <w:t>wa</w:t>
      </w:r>
      <w:r w:rsidR="001F0447" w:rsidRPr="0035095E">
        <w:rPr>
          <w:rFonts w:ascii="Times New Roman" w:hAnsi="Times New Roman" w:cs="Times New Roman"/>
          <w:sz w:val="20"/>
          <w:szCs w:val="20"/>
          <w:lang w:val="en-US"/>
        </w:rPr>
        <w:t xml:space="preserve">s conducted </w:t>
      </w:r>
      <w:r w:rsidR="001603EF" w:rsidRPr="0035095E">
        <w:rPr>
          <w:rFonts w:ascii="Times New Roman" w:hAnsi="Times New Roman" w:cs="Times New Roman"/>
          <w:sz w:val="20"/>
          <w:szCs w:val="20"/>
          <w:lang w:val="en-US"/>
        </w:rPr>
        <w:t>during</w:t>
      </w:r>
      <w:r w:rsidR="001F0447" w:rsidRPr="0035095E">
        <w:rPr>
          <w:rFonts w:ascii="Times New Roman" w:hAnsi="Times New Roman" w:cs="Times New Roman"/>
          <w:sz w:val="20"/>
          <w:szCs w:val="20"/>
          <w:lang w:val="en-US"/>
        </w:rPr>
        <w:t xml:space="preserve"> </w:t>
      </w:r>
      <w:r w:rsidR="00D658A5" w:rsidRPr="0035095E">
        <w:rPr>
          <w:rFonts w:ascii="Times New Roman" w:hAnsi="Times New Roman" w:cs="Times New Roman"/>
          <w:sz w:val="20"/>
          <w:szCs w:val="20"/>
          <w:lang w:val="en-US"/>
        </w:rPr>
        <w:t>the coronavirus</w:t>
      </w:r>
      <w:r w:rsidR="001F0447" w:rsidRPr="0035095E">
        <w:rPr>
          <w:rFonts w:ascii="Times New Roman" w:hAnsi="Times New Roman" w:cs="Times New Roman"/>
          <w:sz w:val="20"/>
          <w:szCs w:val="20"/>
          <w:lang w:val="en-US"/>
        </w:rPr>
        <w:t xml:space="preserve"> pandemic, </w:t>
      </w:r>
      <w:r w:rsidR="00910989" w:rsidRPr="0035095E">
        <w:rPr>
          <w:rFonts w:ascii="Times New Roman" w:hAnsi="Times New Roman" w:cs="Times New Roman"/>
          <w:sz w:val="20"/>
          <w:szCs w:val="20"/>
          <w:lang w:val="en-US"/>
        </w:rPr>
        <w:t>which could negatively affect the response rate. T</w:t>
      </w:r>
      <w:r w:rsidR="00D658A5" w:rsidRPr="0035095E">
        <w:rPr>
          <w:rFonts w:ascii="Times New Roman" w:hAnsi="Times New Roman" w:cs="Times New Roman"/>
          <w:sz w:val="20"/>
          <w:szCs w:val="20"/>
          <w:lang w:val="en-US"/>
        </w:rPr>
        <w:t>o encourage student</w:t>
      </w:r>
      <w:r w:rsidR="005A1D73" w:rsidRPr="0035095E">
        <w:rPr>
          <w:rFonts w:ascii="Times New Roman" w:hAnsi="Times New Roman" w:cs="Times New Roman"/>
          <w:sz w:val="20"/>
          <w:szCs w:val="20"/>
          <w:lang w:val="en-US"/>
        </w:rPr>
        <w:t>s</w:t>
      </w:r>
      <w:r w:rsidR="00D658A5" w:rsidRPr="0035095E">
        <w:rPr>
          <w:rFonts w:ascii="Times New Roman" w:hAnsi="Times New Roman" w:cs="Times New Roman"/>
          <w:sz w:val="20"/>
          <w:szCs w:val="20"/>
          <w:lang w:val="en-US"/>
        </w:rPr>
        <w:t xml:space="preserve"> </w:t>
      </w:r>
      <w:r w:rsidR="00D5311F" w:rsidRPr="0035095E">
        <w:rPr>
          <w:rFonts w:ascii="Times New Roman" w:hAnsi="Times New Roman" w:cs="Times New Roman"/>
          <w:sz w:val="20"/>
          <w:szCs w:val="20"/>
          <w:lang w:val="en-US"/>
        </w:rPr>
        <w:t>to respond to the survey</w:t>
      </w:r>
      <w:r w:rsidR="00D658A5" w:rsidRPr="0035095E">
        <w:rPr>
          <w:rFonts w:ascii="Times New Roman" w:hAnsi="Times New Roman" w:cs="Times New Roman"/>
          <w:sz w:val="20"/>
          <w:szCs w:val="20"/>
          <w:lang w:val="en-US"/>
        </w:rPr>
        <w:t xml:space="preserve">, </w:t>
      </w:r>
      <w:r w:rsidR="00063FF4" w:rsidRPr="0035095E">
        <w:rPr>
          <w:rFonts w:ascii="Times New Roman" w:hAnsi="Times New Roman" w:cs="Times New Roman"/>
          <w:sz w:val="20"/>
          <w:szCs w:val="20"/>
          <w:lang w:val="en-US"/>
        </w:rPr>
        <w:t>a follow</w:t>
      </w:r>
      <w:r w:rsidR="005A1D73" w:rsidRPr="0035095E">
        <w:rPr>
          <w:rFonts w:ascii="Times New Roman" w:hAnsi="Times New Roman" w:cs="Times New Roman"/>
          <w:sz w:val="20"/>
          <w:szCs w:val="20"/>
          <w:lang w:val="en-US"/>
        </w:rPr>
        <w:t>-</w:t>
      </w:r>
      <w:r w:rsidR="00063FF4" w:rsidRPr="0035095E">
        <w:rPr>
          <w:rFonts w:ascii="Times New Roman" w:hAnsi="Times New Roman" w:cs="Times New Roman"/>
          <w:sz w:val="20"/>
          <w:szCs w:val="20"/>
          <w:lang w:val="en-US"/>
        </w:rPr>
        <w:t xml:space="preserve">up email </w:t>
      </w:r>
      <w:r w:rsidR="002050DA" w:rsidRPr="0035095E">
        <w:rPr>
          <w:rFonts w:ascii="Times New Roman" w:hAnsi="Times New Roman" w:cs="Times New Roman"/>
          <w:sz w:val="20"/>
          <w:szCs w:val="20"/>
          <w:lang w:val="en-US"/>
        </w:rPr>
        <w:t>wa</w:t>
      </w:r>
      <w:r w:rsidR="00063FF4" w:rsidRPr="0035095E">
        <w:rPr>
          <w:rFonts w:ascii="Times New Roman" w:hAnsi="Times New Roman" w:cs="Times New Roman"/>
          <w:sz w:val="20"/>
          <w:szCs w:val="20"/>
          <w:lang w:val="en-US"/>
        </w:rPr>
        <w:t>s</w:t>
      </w:r>
      <w:r w:rsidRPr="0035095E">
        <w:rPr>
          <w:rFonts w:ascii="Times New Roman" w:hAnsi="Times New Roman" w:cs="Times New Roman"/>
          <w:sz w:val="20"/>
          <w:szCs w:val="20"/>
          <w:lang w:val="en-US"/>
        </w:rPr>
        <w:t xml:space="preserve"> distributed to all undergraduate</w:t>
      </w:r>
      <w:r w:rsidR="005A1D73" w:rsidRPr="0035095E">
        <w:rPr>
          <w:rFonts w:ascii="Times New Roman" w:hAnsi="Times New Roman" w:cs="Times New Roman"/>
          <w:sz w:val="20"/>
          <w:szCs w:val="20"/>
          <w:lang w:val="en-US"/>
        </w:rPr>
        <w:t>s</w:t>
      </w:r>
      <w:r w:rsidRPr="0035095E">
        <w:rPr>
          <w:rFonts w:ascii="Times New Roman" w:hAnsi="Times New Roman" w:cs="Times New Roman"/>
          <w:sz w:val="20"/>
          <w:szCs w:val="20"/>
          <w:lang w:val="en-US"/>
        </w:rPr>
        <w:t xml:space="preserve"> enrolled in the business school</w:t>
      </w:r>
      <w:r w:rsidR="00D658A5" w:rsidRPr="0035095E">
        <w:rPr>
          <w:rFonts w:ascii="Times New Roman" w:hAnsi="Times New Roman" w:cs="Times New Roman"/>
          <w:sz w:val="20"/>
          <w:szCs w:val="20"/>
          <w:lang w:val="en-US"/>
        </w:rPr>
        <w:t xml:space="preserve">, with </w:t>
      </w:r>
      <w:r w:rsidR="00910989" w:rsidRPr="0035095E">
        <w:rPr>
          <w:rFonts w:ascii="Times New Roman" w:hAnsi="Times New Roman" w:cs="Times New Roman"/>
          <w:sz w:val="20"/>
          <w:szCs w:val="20"/>
          <w:lang w:val="en-US"/>
        </w:rPr>
        <w:t xml:space="preserve">a </w:t>
      </w:r>
      <w:r w:rsidR="00D5311F" w:rsidRPr="0035095E">
        <w:rPr>
          <w:rFonts w:ascii="Times New Roman" w:hAnsi="Times New Roman" w:cs="Times New Roman"/>
          <w:sz w:val="20"/>
          <w:szCs w:val="20"/>
          <w:lang w:val="en-US"/>
        </w:rPr>
        <w:t>student engagement credit</w:t>
      </w:r>
      <w:r w:rsidR="009270A4" w:rsidRPr="0035095E">
        <w:rPr>
          <w:rStyle w:val="FootnoteReference"/>
          <w:rFonts w:ascii="Times New Roman" w:hAnsi="Times New Roman" w:cs="Times New Roman"/>
          <w:sz w:val="20"/>
          <w:szCs w:val="20"/>
          <w:lang w:val="en-US"/>
        </w:rPr>
        <w:footnoteReference w:id="6"/>
      </w:r>
      <w:r w:rsidR="00D5311F" w:rsidRPr="0035095E">
        <w:rPr>
          <w:rFonts w:ascii="Times New Roman" w:hAnsi="Times New Roman" w:cs="Times New Roman"/>
          <w:sz w:val="20"/>
          <w:szCs w:val="20"/>
          <w:lang w:val="en-US"/>
        </w:rPr>
        <w:t xml:space="preserve"> and </w:t>
      </w:r>
      <w:r w:rsidR="00D658A5" w:rsidRPr="0035095E">
        <w:rPr>
          <w:rFonts w:ascii="Times New Roman" w:hAnsi="Times New Roman" w:cs="Times New Roman"/>
          <w:sz w:val="20"/>
          <w:szCs w:val="20"/>
          <w:lang w:val="en-US"/>
        </w:rPr>
        <w:t>a raffle for a small prize</w:t>
      </w:r>
      <w:r w:rsidR="005A1D73" w:rsidRPr="0035095E">
        <w:rPr>
          <w:rFonts w:ascii="Times New Roman" w:hAnsi="Times New Roman" w:cs="Times New Roman"/>
          <w:sz w:val="20"/>
          <w:szCs w:val="20"/>
          <w:lang w:val="en-US"/>
        </w:rPr>
        <w:t xml:space="preserve"> </w:t>
      </w:r>
      <w:r w:rsidR="009270A4" w:rsidRPr="0035095E">
        <w:rPr>
          <w:rFonts w:ascii="Times New Roman" w:hAnsi="Times New Roman" w:cs="Times New Roman"/>
          <w:sz w:val="20"/>
          <w:szCs w:val="20"/>
          <w:lang w:val="en-US"/>
        </w:rPr>
        <w:t xml:space="preserve">(a school mug) </w:t>
      </w:r>
      <w:r w:rsidR="005A1D73" w:rsidRPr="0035095E">
        <w:rPr>
          <w:rFonts w:ascii="Times New Roman" w:hAnsi="Times New Roman" w:cs="Times New Roman"/>
          <w:sz w:val="20"/>
          <w:szCs w:val="20"/>
          <w:lang w:val="en-US"/>
        </w:rPr>
        <w:t>as rewards</w:t>
      </w:r>
      <w:r w:rsidR="00D5311F" w:rsidRPr="0035095E">
        <w:rPr>
          <w:rFonts w:ascii="Times New Roman" w:hAnsi="Times New Roman" w:cs="Times New Roman"/>
          <w:sz w:val="20"/>
          <w:szCs w:val="20"/>
          <w:lang w:val="en-US"/>
        </w:rPr>
        <w:t xml:space="preserve">. </w:t>
      </w:r>
      <w:r w:rsidR="008D7144" w:rsidRPr="0035095E">
        <w:rPr>
          <w:rFonts w:ascii="Times New Roman" w:hAnsi="Times New Roman" w:cs="Times New Roman"/>
          <w:sz w:val="20"/>
          <w:szCs w:val="20"/>
          <w:lang w:val="en-US"/>
        </w:rPr>
        <w:t>In this follow</w:t>
      </w:r>
      <w:r w:rsidR="005A1D73" w:rsidRPr="0035095E">
        <w:rPr>
          <w:rFonts w:ascii="Times New Roman" w:hAnsi="Times New Roman" w:cs="Times New Roman"/>
          <w:sz w:val="20"/>
          <w:szCs w:val="20"/>
          <w:lang w:val="en-US"/>
        </w:rPr>
        <w:t>-</w:t>
      </w:r>
      <w:r w:rsidR="008D7144" w:rsidRPr="0035095E">
        <w:rPr>
          <w:rFonts w:ascii="Times New Roman" w:hAnsi="Times New Roman" w:cs="Times New Roman"/>
          <w:sz w:val="20"/>
          <w:szCs w:val="20"/>
          <w:lang w:val="en-US"/>
        </w:rPr>
        <w:t xml:space="preserve">up </w:t>
      </w:r>
      <w:r w:rsidR="00377A84" w:rsidRPr="0035095E">
        <w:rPr>
          <w:rFonts w:ascii="Times New Roman" w:hAnsi="Times New Roman" w:cs="Times New Roman"/>
          <w:sz w:val="20"/>
          <w:szCs w:val="20"/>
          <w:lang w:val="en-US"/>
        </w:rPr>
        <w:t>email</w:t>
      </w:r>
      <w:r w:rsidR="009954BC" w:rsidRPr="0035095E">
        <w:rPr>
          <w:rFonts w:ascii="Times New Roman" w:hAnsi="Times New Roman" w:cs="Times New Roman"/>
          <w:sz w:val="20"/>
          <w:szCs w:val="20"/>
          <w:lang w:val="en-US"/>
        </w:rPr>
        <w:t>,</w:t>
      </w:r>
      <w:r w:rsidR="008D7144" w:rsidRPr="0035095E">
        <w:rPr>
          <w:rFonts w:ascii="Times New Roman" w:hAnsi="Times New Roman" w:cs="Times New Roman"/>
          <w:sz w:val="20"/>
          <w:szCs w:val="20"/>
          <w:lang w:val="en-US"/>
        </w:rPr>
        <w:t xml:space="preserve"> students </w:t>
      </w:r>
      <w:r w:rsidR="00CB4A3C" w:rsidRPr="0035095E">
        <w:rPr>
          <w:rFonts w:ascii="Times New Roman" w:hAnsi="Times New Roman" w:cs="Times New Roman"/>
          <w:sz w:val="20"/>
          <w:szCs w:val="20"/>
          <w:lang w:val="en-US"/>
        </w:rPr>
        <w:t>were</w:t>
      </w:r>
      <w:r w:rsidR="008D7144" w:rsidRPr="0035095E">
        <w:rPr>
          <w:rFonts w:ascii="Times New Roman" w:hAnsi="Times New Roman" w:cs="Times New Roman"/>
          <w:sz w:val="20"/>
          <w:szCs w:val="20"/>
          <w:lang w:val="en-US"/>
        </w:rPr>
        <w:t xml:space="preserve"> requested to include their names in the survey to receive the award. </w:t>
      </w:r>
      <w:r w:rsidRPr="0035095E">
        <w:rPr>
          <w:rFonts w:ascii="Times New Roman" w:hAnsi="Times New Roman" w:cs="Times New Roman"/>
          <w:sz w:val="20"/>
          <w:szCs w:val="20"/>
          <w:lang w:val="en-US"/>
        </w:rPr>
        <w:t xml:space="preserve">In total, there </w:t>
      </w:r>
      <w:r w:rsidR="007C0F76" w:rsidRPr="0035095E">
        <w:rPr>
          <w:rFonts w:ascii="Times New Roman" w:hAnsi="Times New Roman" w:cs="Times New Roman"/>
          <w:sz w:val="20"/>
          <w:szCs w:val="20"/>
          <w:lang w:val="en-US"/>
        </w:rPr>
        <w:t>are</w:t>
      </w:r>
      <w:r w:rsidR="00C93610" w:rsidRPr="0035095E">
        <w:rPr>
          <w:rFonts w:ascii="Times New Roman" w:hAnsi="Times New Roman" w:cs="Times New Roman"/>
          <w:sz w:val="20"/>
          <w:szCs w:val="20"/>
          <w:lang w:val="en-US"/>
        </w:rPr>
        <w:t xml:space="preserve"> </w:t>
      </w:r>
      <w:r w:rsidRPr="0035095E">
        <w:rPr>
          <w:rFonts w:ascii="Times New Roman" w:hAnsi="Times New Roman" w:cs="Times New Roman"/>
          <w:sz w:val="20"/>
          <w:szCs w:val="20"/>
          <w:lang w:val="en-US"/>
        </w:rPr>
        <w:t xml:space="preserve">205 respondents. </w:t>
      </w:r>
      <w:r w:rsidR="00063FF4" w:rsidRPr="0035095E">
        <w:rPr>
          <w:rFonts w:ascii="Times New Roman" w:hAnsi="Times New Roman" w:cs="Times New Roman"/>
          <w:sz w:val="20"/>
          <w:szCs w:val="20"/>
          <w:lang w:val="en-US"/>
        </w:rPr>
        <w:t xml:space="preserve">After </w:t>
      </w:r>
      <w:r w:rsidR="00D658A5" w:rsidRPr="0035095E">
        <w:rPr>
          <w:rFonts w:ascii="Times New Roman" w:hAnsi="Times New Roman" w:cs="Times New Roman"/>
          <w:sz w:val="20"/>
          <w:szCs w:val="20"/>
          <w:lang w:val="en-US"/>
        </w:rPr>
        <w:t xml:space="preserve">excluding </w:t>
      </w:r>
      <w:r w:rsidR="009954BC" w:rsidRPr="0035095E">
        <w:rPr>
          <w:rFonts w:ascii="Times New Roman" w:hAnsi="Times New Roman" w:cs="Times New Roman"/>
          <w:sz w:val="20"/>
          <w:szCs w:val="20"/>
          <w:lang w:val="en-US"/>
        </w:rPr>
        <w:t>duplicate</w:t>
      </w:r>
      <w:r w:rsidR="00D658A5" w:rsidRPr="0035095E">
        <w:rPr>
          <w:rFonts w:ascii="Times New Roman" w:hAnsi="Times New Roman" w:cs="Times New Roman"/>
          <w:sz w:val="20"/>
          <w:szCs w:val="20"/>
          <w:lang w:val="en-US"/>
        </w:rPr>
        <w:t xml:space="preserve"> and incomplete responses, </w:t>
      </w:r>
      <w:r w:rsidR="00063FF4" w:rsidRPr="0035095E">
        <w:rPr>
          <w:rFonts w:ascii="Times New Roman" w:hAnsi="Times New Roman" w:cs="Times New Roman"/>
          <w:sz w:val="20"/>
          <w:szCs w:val="20"/>
          <w:lang w:val="en-US"/>
        </w:rPr>
        <w:t xml:space="preserve">132 useful </w:t>
      </w:r>
      <w:r w:rsidR="00EB481C" w:rsidRPr="0035095E">
        <w:rPr>
          <w:rFonts w:ascii="Times New Roman" w:hAnsi="Times New Roman" w:cs="Times New Roman"/>
          <w:sz w:val="20"/>
          <w:szCs w:val="20"/>
          <w:lang w:val="en-US"/>
        </w:rPr>
        <w:t>sample</w:t>
      </w:r>
      <w:r w:rsidR="00063FF4" w:rsidRPr="0035095E">
        <w:rPr>
          <w:rFonts w:ascii="Times New Roman" w:hAnsi="Times New Roman" w:cs="Times New Roman"/>
          <w:sz w:val="20"/>
          <w:szCs w:val="20"/>
          <w:lang w:val="en-US"/>
        </w:rPr>
        <w:t>s</w:t>
      </w:r>
      <w:r w:rsidR="00C93610" w:rsidRPr="0035095E">
        <w:rPr>
          <w:rFonts w:ascii="Times New Roman" w:hAnsi="Times New Roman" w:cs="Times New Roman"/>
          <w:sz w:val="20"/>
          <w:szCs w:val="20"/>
          <w:lang w:val="en-US"/>
        </w:rPr>
        <w:t xml:space="preserve"> remain</w:t>
      </w:r>
      <w:r w:rsidR="00EB481C" w:rsidRPr="0035095E">
        <w:rPr>
          <w:rFonts w:ascii="Times New Roman" w:hAnsi="Times New Roman" w:cs="Times New Roman"/>
          <w:sz w:val="20"/>
          <w:szCs w:val="20"/>
          <w:lang w:val="en-US"/>
        </w:rPr>
        <w:t xml:space="preserve"> and only 11% of them </w:t>
      </w:r>
      <w:proofErr w:type="gramStart"/>
      <w:r w:rsidR="00EB481C" w:rsidRPr="0035095E">
        <w:rPr>
          <w:rFonts w:ascii="Times New Roman" w:hAnsi="Times New Roman" w:cs="Times New Roman"/>
          <w:sz w:val="20"/>
          <w:szCs w:val="20"/>
          <w:lang w:val="en-US"/>
        </w:rPr>
        <w:t>indicating</w:t>
      </w:r>
      <w:proofErr w:type="gramEnd"/>
      <w:r w:rsidR="00EB481C" w:rsidRPr="0035095E">
        <w:rPr>
          <w:rFonts w:ascii="Times New Roman" w:hAnsi="Times New Roman" w:cs="Times New Roman"/>
          <w:sz w:val="20"/>
          <w:szCs w:val="20"/>
          <w:lang w:val="en-US"/>
        </w:rPr>
        <w:t xml:space="preserve"> that they have taken at least one tax course. </w:t>
      </w:r>
      <w:r w:rsidR="00B00154" w:rsidRPr="0035095E">
        <w:rPr>
          <w:rFonts w:ascii="Times New Roman" w:hAnsi="Times New Roman" w:cs="Times New Roman"/>
          <w:sz w:val="20"/>
          <w:szCs w:val="20"/>
          <w:lang w:val="en-US"/>
        </w:rPr>
        <w:t>This is also because the number of accounting majors</w:t>
      </w:r>
      <w:r w:rsidR="005143ED" w:rsidRPr="0035095E">
        <w:rPr>
          <w:rFonts w:ascii="Times New Roman" w:hAnsi="Times New Roman" w:cs="Times New Roman"/>
          <w:sz w:val="20"/>
          <w:szCs w:val="20"/>
          <w:lang w:val="en-US"/>
        </w:rPr>
        <w:t xml:space="preserve"> in this school</w:t>
      </w:r>
      <w:r w:rsidR="00B00154" w:rsidRPr="0035095E">
        <w:rPr>
          <w:rFonts w:ascii="Times New Roman" w:hAnsi="Times New Roman" w:cs="Times New Roman"/>
          <w:sz w:val="20"/>
          <w:szCs w:val="20"/>
          <w:lang w:val="en-US"/>
        </w:rPr>
        <w:t xml:space="preserve"> has declined to approximately 25 students </w:t>
      </w:r>
      <w:r w:rsidR="009F773A" w:rsidRPr="0035095E">
        <w:rPr>
          <w:rFonts w:ascii="Times New Roman" w:hAnsi="Times New Roman" w:cs="Times New Roman"/>
          <w:sz w:val="20"/>
          <w:szCs w:val="20"/>
          <w:lang w:val="en-US"/>
        </w:rPr>
        <w:t>in junior and senior years, respectively</w:t>
      </w:r>
      <w:r w:rsidR="00B00154" w:rsidRPr="0035095E">
        <w:rPr>
          <w:rFonts w:ascii="Times New Roman" w:hAnsi="Times New Roman" w:cs="Times New Roman"/>
          <w:sz w:val="20"/>
          <w:szCs w:val="20"/>
          <w:lang w:val="en-US"/>
        </w:rPr>
        <w:t>. To increase the number of respondents who have taken at least one tax course, m</w:t>
      </w:r>
      <w:r w:rsidR="00EB481C" w:rsidRPr="0035095E">
        <w:rPr>
          <w:rFonts w:ascii="Times New Roman" w:hAnsi="Times New Roman" w:cs="Times New Roman"/>
          <w:sz w:val="20"/>
          <w:szCs w:val="20"/>
          <w:lang w:val="en-US"/>
        </w:rPr>
        <w:t xml:space="preserve">ore survey requests were sent to accounting majors in </w:t>
      </w:r>
      <w:r w:rsidR="00F61E68" w:rsidRPr="0035095E">
        <w:rPr>
          <w:rFonts w:ascii="Times New Roman" w:hAnsi="Times New Roman" w:cs="Times New Roman"/>
          <w:sz w:val="20"/>
          <w:szCs w:val="20"/>
          <w:lang w:val="en-US"/>
        </w:rPr>
        <w:t xml:space="preserve">Fall </w:t>
      </w:r>
      <w:r w:rsidR="00EB481C" w:rsidRPr="0035095E">
        <w:rPr>
          <w:rFonts w:ascii="Times New Roman" w:hAnsi="Times New Roman" w:cs="Times New Roman"/>
          <w:sz w:val="20"/>
          <w:szCs w:val="20"/>
          <w:lang w:val="en-US"/>
        </w:rPr>
        <w:t>2022</w:t>
      </w:r>
      <w:r w:rsidR="00B00154" w:rsidRPr="0035095E">
        <w:rPr>
          <w:rFonts w:ascii="Times New Roman" w:hAnsi="Times New Roman" w:cs="Times New Roman"/>
          <w:sz w:val="20"/>
          <w:szCs w:val="20"/>
          <w:lang w:val="en-US"/>
        </w:rPr>
        <w:t>.</w:t>
      </w:r>
      <w:r w:rsidR="00EB481C" w:rsidRPr="0035095E">
        <w:rPr>
          <w:rFonts w:ascii="Times New Roman" w:hAnsi="Times New Roman" w:cs="Times New Roman"/>
          <w:sz w:val="20"/>
          <w:szCs w:val="20"/>
          <w:lang w:val="en-US"/>
        </w:rPr>
        <w:t xml:space="preserve"> </w:t>
      </w:r>
      <w:r w:rsidR="00B00154" w:rsidRPr="0035095E">
        <w:rPr>
          <w:rFonts w:ascii="Times New Roman" w:hAnsi="Times New Roman" w:cs="Times New Roman"/>
          <w:sz w:val="20"/>
          <w:szCs w:val="20"/>
          <w:lang w:val="en-US"/>
        </w:rPr>
        <w:t>W</w:t>
      </w:r>
      <w:r w:rsidR="00EB481C" w:rsidRPr="0035095E">
        <w:rPr>
          <w:rFonts w:ascii="Times New Roman" w:hAnsi="Times New Roman" w:cs="Times New Roman"/>
          <w:sz w:val="20"/>
          <w:szCs w:val="20"/>
          <w:lang w:val="en-US"/>
        </w:rPr>
        <w:t xml:space="preserve">e were able to collect 13 more useful samples from students who have taken at least one tax course and increase the ratio from 11% to </w:t>
      </w:r>
      <w:r w:rsidR="007E52E2" w:rsidRPr="0035095E">
        <w:rPr>
          <w:rFonts w:ascii="Times New Roman" w:hAnsi="Times New Roman" w:cs="Times New Roman"/>
          <w:color w:val="000000" w:themeColor="text1"/>
          <w:sz w:val="20"/>
          <w:szCs w:val="20"/>
          <w:lang w:val="en-US"/>
        </w:rPr>
        <w:t>25</w:t>
      </w:r>
      <w:r w:rsidR="00EB481C" w:rsidRPr="0035095E">
        <w:rPr>
          <w:rFonts w:ascii="Times New Roman" w:hAnsi="Times New Roman" w:cs="Times New Roman"/>
          <w:color w:val="000000" w:themeColor="text1"/>
          <w:sz w:val="20"/>
          <w:szCs w:val="20"/>
          <w:lang w:val="en-US"/>
        </w:rPr>
        <w:t>%. The</w:t>
      </w:r>
      <w:r w:rsidR="009F773A" w:rsidRPr="0035095E">
        <w:rPr>
          <w:rFonts w:ascii="Times New Roman" w:hAnsi="Times New Roman" w:cs="Times New Roman"/>
          <w:color w:val="000000" w:themeColor="text1"/>
          <w:sz w:val="20"/>
          <w:szCs w:val="20"/>
          <w:lang w:val="en-US"/>
        </w:rPr>
        <w:t xml:space="preserve"> final number of </w:t>
      </w:r>
      <w:r w:rsidR="00EB481C" w:rsidRPr="0035095E">
        <w:rPr>
          <w:rFonts w:ascii="Times New Roman" w:hAnsi="Times New Roman" w:cs="Times New Roman"/>
          <w:color w:val="000000" w:themeColor="text1"/>
          <w:sz w:val="20"/>
          <w:szCs w:val="20"/>
          <w:lang w:val="en-US"/>
        </w:rPr>
        <w:t xml:space="preserve">total useful </w:t>
      </w:r>
      <w:proofErr w:type="gramStart"/>
      <w:r w:rsidR="00EB481C" w:rsidRPr="0035095E">
        <w:rPr>
          <w:rFonts w:ascii="Times New Roman" w:hAnsi="Times New Roman" w:cs="Times New Roman"/>
          <w:color w:val="000000" w:themeColor="text1"/>
          <w:sz w:val="20"/>
          <w:szCs w:val="20"/>
          <w:lang w:val="en-US"/>
        </w:rPr>
        <w:t>sample</w:t>
      </w:r>
      <w:proofErr w:type="gramEnd"/>
      <w:r w:rsidR="00EB481C" w:rsidRPr="0035095E">
        <w:rPr>
          <w:rFonts w:ascii="Times New Roman" w:hAnsi="Times New Roman" w:cs="Times New Roman"/>
          <w:color w:val="000000" w:themeColor="text1"/>
          <w:sz w:val="20"/>
          <w:szCs w:val="20"/>
          <w:lang w:val="en-US"/>
        </w:rPr>
        <w:t xml:space="preserve"> is 145.</w:t>
      </w:r>
      <w:r w:rsidR="0035095E">
        <w:rPr>
          <w:rFonts w:ascii="Times New Roman" w:hAnsi="Times New Roman" w:cs="Times New Roman"/>
          <w:color w:val="000000" w:themeColor="text1"/>
          <w:sz w:val="20"/>
          <w:szCs w:val="20"/>
          <w:lang w:val="en-US"/>
        </w:rPr>
        <w:t xml:space="preserve">  </w:t>
      </w:r>
    </w:p>
    <w:p w14:paraId="13ABA395" w14:textId="77777777" w:rsidR="0035095E" w:rsidRPr="0035095E" w:rsidRDefault="0035095E" w:rsidP="00C45D4F">
      <w:pPr>
        <w:rPr>
          <w:rFonts w:ascii="Times New Roman" w:hAnsi="Times New Roman" w:cs="Times New Roman"/>
          <w:sz w:val="20"/>
          <w:szCs w:val="20"/>
          <w:lang w:val="en-US"/>
        </w:rPr>
      </w:pPr>
    </w:p>
    <w:p w14:paraId="53717035" w14:textId="646D0861" w:rsidR="00063FF4" w:rsidRDefault="006649AE" w:rsidP="00C45D4F">
      <w:pPr>
        <w:rPr>
          <w:rFonts w:ascii="Times New Roman" w:hAnsi="Times New Roman" w:cs="Times New Roman"/>
          <w:sz w:val="20"/>
          <w:szCs w:val="20"/>
          <w:lang w:val="en-US"/>
        </w:rPr>
      </w:pPr>
      <w:r w:rsidRPr="0035095E">
        <w:rPr>
          <w:rFonts w:ascii="Times New Roman" w:hAnsi="Times New Roman" w:cs="Times New Roman"/>
          <w:sz w:val="20"/>
          <w:szCs w:val="20"/>
          <w:lang w:val="en-US"/>
        </w:rPr>
        <w:t xml:space="preserve">The survey questions can be broken down into </w:t>
      </w:r>
      <w:r w:rsidR="009954BC" w:rsidRPr="0035095E">
        <w:rPr>
          <w:rFonts w:ascii="Times New Roman" w:hAnsi="Times New Roman" w:cs="Times New Roman"/>
          <w:sz w:val="20"/>
          <w:szCs w:val="20"/>
          <w:lang w:val="en-US"/>
        </w:rPr>
        <w:t xml:space="preserve">the following </w:t>
      </w:r>
      <w:r w:rsidRPr="0035095E">
        <w:rPr>
          <w:rFonts w:ascii="Times New Roman" w:hAnsi="Times New Roman" w:cs="Times New Roman"/>
          <w:sz w:val="20"/>
          <w:szCs w:val="20"/>
          <w:lang w:val="en-US"/>
        </w:rPr>
        <w:t>five sections</w:t>
      </w:r>
      <w:r w:rsidR="00DF608B" w:rsidRPr="0035095E">
        <w:rPr>
          <w:rFonts w:ascii="Times New Roman" w:hAnsi="Times New Roman" w:cs="Times New Roman"/>
          <w:sz w:val="20"/>
          <w:szCs w:val="20"/>
          <w:lang w:val="en-US"/>
        </w:rPr>
        <w:t>: d</w:t>
      </w:r>
      <w:r w:rsidRPr="0035095E">
        <w:rPr>
          <w:rFonts w:ascii="Times New Roman" w:hAnsi="Times New Roman" w:cs="Times New Roman"/>
          <w:sz w:val="20"/>
          <w:szCs w:val="20"/>
          <w:lang w:val="en-US"/>
        </w:rPr>
        <w:t>emographic questions</w:t>
      </w:r>
      <w:r w:rsidR="00306788" w:rsidRPr="0035095E">
        <w:rPr>
          <w:rFonts w:ascii="Times New Roman" w:hAnsi="Times New Roman" w:cs="Times New Roman"/>
          <w:sz w:val="20"/>
          <w:szCs w:val="20"/>
          <w:lang w:val="en-US"/>
        </w:rPr>
        <w:t xml:space="preserve"> (</w:t>
      </w:r>
      <w:r w:rsidR="001C4121" w:rsidRPr="0035095E">
        <w:rPr>
          <w:rFonts w:ascii="Times New Roman" w:hAnsi="Times New Roman" w:cs="Times New Roman"/>
          <w:sz w:val="20"/>
          <w:szCs w:val="20"/>
          <w:lang w:val="en-US"/>
        </w:rPr>
        <w:t>11 questions)</w:t>
      </w:r>
      <w:r w:rsidR="000F6EA6" w:rsidRPr="0035095E">
        <w:rPr>
          <w:rFonts w:ascii="Times New Roman" w:hAnsi="Times New Roman" w:cs="Times New Roman"/>
          <w:sz w:val="20"/>
          <w:szCs w:val="20"/>
          <w:lang w:val="en-US"/>
        </w:rPr>
        <w:t>, p</w:t>
      </w:r>
      <w:r w:rsidRPr="0035095E">
        <w:rPr>
          <w:rFonts w:ascii="Times New Roman" w:hAnsi="Times New Roman" w:cs="Times New Roman"/>
          <w:sz w:val="20"/>
          <w:szCs w:val="20"/>
          <w:lang w:val="en-US"/>
        </w:rPr>
        <w:t>re-survey self-rating</w:t>
      </w:r>
      <w:r w:rsidR="000F6EA6" w:rsidRPr="0035095E">
        <w:rPr>
          <w:rFonts w:ascii="Times New Roman" w:hAnsi="Times New Roman" w:cs="Times New Roman"/>
          <w:sz w:val="20"/>
          <w:szCs w:val="20"/>
          <w:lang w:val="en-US"/>
        </w:rPr>
        <w:t>s</w:t>
      </w:r>
      <w:r w:rsidRPr="0035095E">
        <w:rPr>
          <w:rFonts w:ascii="Times New Roman" w:hAnsi="Times New Roman" w:cs="Times New Roman"/>
          <w:sz w:val="20"/>
          <w:szCs w:val="20"/>
          <w:lang w:val="en-US"/>
        </w:rPr>
        <w:t xml:space="preserve"> of financial and tax literacy</w:t>
      </w:r>
      <w:r w:rsidR="001C4121" w:rsidRPr="0035095E">
        <w:rPr>
          <w:rFonts w:ascii="Times New Roman" w:hAnsi="Times New Roman" w:cs="Times New Roman"/>
          <w:sz w:val="20"/>
          <w:szCs w:val="20"/>
          <w:lang w:val="en-US"/>
        </w:rPr>
        <w:t xml:space="preserve"> (</w:t>
      </w:r>
      <w:r w:rsidR="00C93610" w:rsidRPr="0035095E">
        <w:rPr>
          <w:rFonts w:ascii="Times New Roman" w:hAnsi="Times New Roman" w:cs="Times New Roman"/>
          <w:sz w:val="20"/>
          <w:szCs w:val="20"/>
          <w:lang w:val="en-US"/>
        </w:rPr>
        <w:t xml:space="preserve">two </w:t>
      </w:r>
      <w:r w:rsidR="001C4121" w:rsidRPr="0035095E">
        <w:rPr>
          <w:rFonts w:ascii="Times New Roman" w:hAnsi="Times New Roman" w:cs="Times New Roman"/>
          <w:sz w:val="20"/>
          <w:szCs w:val="20"/>
          <w:lang w:val="en-US"/>
        </w:rPr>
        <w:t>questions)</w:t>
      </w:r>
      <w:r w:rsidR="000F6EA6" w:rsidRPr="0035095E">
        <w:rPr>
          <w:rFonts w:ascii="Times New Roman" w:hAnsi="Times New Roman" w:cs="Times New Roman"/>
          <w:sz w:val="20"/>
          <w:szCs w:val="20"/>
          <w:lang w:val="en-US"/>
        </w:rPr>
        <w:t>, f</w:t>
      </w:r>
      <w:r w:rsidRPr="0035095E">
        <w:rPr>
          <w:rFonts w:ascii="Times New Roman" w:hAnsi="Times New Roman" w:cs="Times New Roman"/>
          <w:sz w:val="20"/>
          <w:szCs w:val="20"/>
          <w:lang w:val="en-US"/>
        </w:rPr>
        <w:t>inancial literacy questions</w:t>
      </w:r>
      <w:r w:rsidR="001C4121" w:rsidRPr="0035095E">
        <w:rPr>
          <w:rFonts w:ascii="Times New Roman" w:hAnsi="Times New Roman" w:cs="Times New Roman"/>
          <w:sz w:val="20"/>
          <w:szCs w:val="20"/>
          <w:lang w:val="en-US"/>
        </w:rPr>
        <w:t xml:space="preserve"> (</w:t>
      </w:r>
      <w:r w:rsidR="002A05F6" w:rsidRPr="0035095E">
        <w:rPr>
          <w:rFonts w:ascii="Times New Roman" w:hAnsi="Times New Roman" w:cs="Times New Roman"/>
          <w:sz w:val="20"/>
          <w:szCs w:val="20"/>
          <w:lang w:val="en-US"/>
        </w:rPr>
        <w:t xml:space="preserve">FQs; </w:t>
      </w:r>
      <w:r w:rsidR="00C93610" w:rsidRPr="0035095E">
        <w:rPr>
          <w:rFonts w:ascii="Times New Roman" w:hAnsi="Times New Roman" w:cs="Times New Roman"/>
          <w:sz w:val="20"/>
          <w:szCs w:val="20"/>
          <w:lang w:val="en-US"/>
        </w:rPr>
        <w:t xml:space="preserve">five </w:t>
      </w:r>
      <w:r w:rsidR="001C4121" w:rsidRPr="0035095E">
        <w:rPr>
          <w:rFonts w:ascii="Times New Roman" w:hAnsi="Times New Roman" w:cs="Times New Roman"/>
          <w:sz w:val="20"/>
          <w:szCs w:val="20"/>
          <w:lang w:val="en-US"/>
        </w:rPr>
        <w:t>questions)</w:t>
      </w:r>
      <w:r w:rsidR="000F6EA6" w:rsidRPr="0035095E">
        <w:rPr>
          <w:rFonts w:ascii="Times New Roman" w:hAnsi="Times New Roman" w:cs="Times New Roman"/>
          <w:sz w:val="20"/>
          <w:szCs w:val="20"/>
          <w:lang w:val="en-US"/>
        </w:rPr>
        <w:t>, t</w:t>
      </w:r>
      <w:r w:rsidRPr="0035095E">
        <w:rPr>
          <w:rFonts w:ascii="Times New Roman" w:hAnsi="Times New Roman" w:cs="Times New Roman"/>
          <w:sz w:val="20"/>
          <w:szCs w:val="20"/>
          <w:lang w:val="en-US"/>
        </w:rPr>
        <w:t>ax literacy questions</w:t>
      </w:r>
      <w:r w:rsidR="001C4121" w:rsidRPr="0035095E">
        <w:rPr>
          <w:rFonts w:ascii="Times New Roman" w:hAnsi="Times New Roman" w:cs="Times New Roman"/>
          <w:sz w:val="20"/>
          <w:szCs w:val="20"/>
          <w:lang w:val="en-US"/>
        </w:rPr>
        <w:t xml:space="preserve"> (</w:t>
      </w:r>
      <w:r w:rsidR="00A32F0C" w:rsidRPr="0035095E">
        <w:rPr>
          <w:rFonts w:ascii="Times New Roman" w:hAnsi="Times New Roman" w:cs="Times New Roman"/>
          <w:sz w:val="20"/>
          <w:szCs w:val="20"/>
          <w:lang w:val="en-US"/>
        </w:rPr>
        <w:t xml:space="preserve">TQs; </w:t>
      </w:r>
      <w:r w:rsidR="001C4121" w:rsidRPr="0035095E">
        <w:rPr>
          <w:rFonts w:ascii="Times New Roman" w:hAnsi="Times New Roman" w:cs="Times New Roman"/>
          <w:sz w:val="20"/>
          <w:szCs w:val="20"/>
          <w:lang w:val="en-US"/>
        </w:rPr>
        <w:t>14 questions)</w:t>
      </w:r>
      <w:r w:rsidR="000F6EA6" w:rsidRPr="0035095E">
        <w:rPr>
          <w:rFonts w:ascii="Times New Roman" w:hAnsi="Times New Roman" w:cs="Times New Roman"/>
          <w:sz w:val="20"/>
          <w:szCs w:val="20"/>
          <w:lang w:val="en-US"/>
        </w:rPr>
        <w:t>, and p</w:t>
      </w:r>
      <w:r w:rsidRPr="0035095E">
        <w:rPr>
          <w:rFonts w:ascii="Times New Roman" w:hAnsi="Times New Roman" w:cs="Times New Roman"/>
          <w:sz w:val="20"/>
          <w:szCs w:val="20"/>
          <w:lang w:val="en-US"/>
        </w:rPr>
        <w:t>ost-survey self-rating</w:t>
      </w:r>
      <w:r w:rsidR="000F6EA6" w:rsidRPr="0035095E">
        <w:rPr>
          <w:rFonts w:ascii="Times New Roman" w:hAnsi="Times New Roman" w:cs="Times New Roman"/>
          <w:sz w:val="20"/>
          <w:szCs w:val="20"/>
          <w:lang w:val="en-US"/>
        </w:rPr>
        <w:t>s</w:t>
      </w:r>
      <w:r w:rsidRPr="0035095E">
        <w:rPr>
          <w:rFonts w:ascii="Times New Roman" w:hAnsi="Times New Roman" w:cs="Times New Roman"/>
          <w:sz w:val="20"/>
          <w:szCs w:val="20"/>
          <w:lang w:val="en-US"/>
        </w:rPr>
        <w:t xml:space="preserve"> of financial and tax literacy</w:t>
      </w:r>
      <w:r w:rsidR="001C4121" w:rsidRPr="0035095E">
        <w:rPr>
          <w:rFonts w:ascii="Times New Roman" w:hAnsi="Times New Roman" w:cs="Times New Roman"/>
          <w:sz w:val="20"/>
          <w:szCs w:val="20"/>
          <w:lang w:val="en-US"/>
        </w:rPr>
        <w:t xml:space="preserve"> (</w:t>
      </w:r>
      <w:r w:rsidR="00C93610" w:rsidRPr="0035095E">
        <w:rPr>
          <w:rFonts w:ascii="Times New Roman" w:hAnsi="Times New Roman" w:cs="Times New Roman"/>
          <w:sz w:val="20"/>
          <w:szCs w:val="20"/>
          <w:lang w:val="en-US"/>
        </w:rPr>
        <w:t xml:space="preserve">two </w:t>
      </w:r>
      <w:r w:rsidR="001C4121" w:rsidRPr="0035095E">
        <w:rPr>
          <w:rFonts w:ascii="Times New Roman" w:hAnsi="Times New Roman" w:cs="Times New Roman"/>
          <w:sz w:val="20"/>
          <w:szCs w:val="20"/>
          <w:lang w:val="en-US"/>
        </w:rPr>
        <w:t>questions)</w:t>
      </w:r>
      <w:r w:rsidR="00214479" w:rsidRPr="0035095E">
        <w:rPr>
          <w:rFonts w:ascii="Times New Roman" w:hAnsi="Times New Roman" w:cs="Times New Roman"/>
          <w:sz w:val="20"/>
          <w:szCs w:val="20"/>
          <w:lang w:val="en-US"/>
        </w:rPr>
        <w:t>.</w:t>
      </w:r>
      <w:r w:rsidR="008B0A8B" w:rsidRPr="0035095E">
        <w:rPr>
          <w:rFonts w:ascii="Times New Roman" w:hAnsi="Times New Roman" w:cs="Times New Roman"/>
          <w:sz w:val="20"/>
          <w:szCs w:val="20"/>
          <w:lang w:val="en-US"/>
        </w:rPr>
        <w:t xml:space="preserve"> All questions are multiple choices questions.</w:t>
      </w:r>
      <w:r w:rsidR="001C4121" w:rsidRPr="0035095E">
        <w:rPr>
          <w:rFonts w:ascii="Times New Roman" w:hAnsi="Times New Roman" w:cs="Times New Roman"/>
          <w:sz w:val="20"/>
          <w:szCs w:val="20"/>
          <w:lang w:val="en-US"/>
        </w:rPr>
        <w:t xml:space="preserve"> </w:t>
      </w:r>
      <w:r w:rsidR="001E479A" w:rsidRPr="0035095E">
        <w:rPr>
          <w:rFonts w:ascii="Times New Roman" w:hAnsi="Times New Roman" w:cs="Times New Roman"/>
          <w:sz w:val="20"/>
          <w:szCs w:val="20"/>
          <w:lang w:val="en-US"/>
        </w:rPr>
        <w:t>Once a participant agrees</w:t>
      </w:r>
      <w:r w:rsidR="00D658A5" w:rsidRPr="0035095E">
        <w:rPr>
          <w:rFonts w:ascii="Times New Roman" w:hAnsi="Times New Roman" w:cs="Times New Roman"/>
          <w:sz w:val="20"/>
          <w:szCs w:val="20"/>
          <w:lang w:val="en-US"/>
        </w:rPr>
        <w:t xml:space="preserve"> to and start</w:t>
      </w:r>
      <w:r w:rsidR="001E479A" w:rsidRPr="0035095E">
        <w:rPr>
          <w:rFonts w:ascii="Times New Roman" w:hAnsi="Times New Roman" w:cs="Times New Roman"/>
          <w:sz w:val="20"/>
          <w:szCs w:val="20"/>
          <w:lang w:val="en-US"/>
        </w:rPr>
        <w:t>s</w:t>
      </w:r>
      <w:r w:rsidR="00D658A5" w:rsidRPr="0035095E">
        <w:rPr>
          <w:rFonts w:ascii="Times New Roman" w:hAnsi="Times New Roman" w:cs="Times New Roman"/>
          <w:sz w:val="20"/>
          <w:szCs w:val="20"/>
          <w:lang w:val="en-US"/>
        </w:rPr>
        <w:t xml:space="preserve"> the survey, he or she </w:t>
      </w:r>
      <w:r w:rsidR="00DB0EB0" w:rsidRPr="0035095E">
        <w:rPr>
          <w:rFonts w:ascii="Times New Roman" w:hAnsi="Times New Roman" w:cs="Times New Roman"/>
          <w:sz w:val="20"/>
          <w:szCs w:val="20"/>
          <w:lang w:val="en-US"/>
        </w:rPr>
        <w:t>c</w:t>
      </w:r>
      <w:r w:rsidR="001E479A" w:rsidRPr="0035095E">
        <w:rPr>
          <w:rFonts w:ascii="Times New Roman" w:hAnsi="Times New Roman" w:cs="Times New Roman"/>
          <w:sz w:val="20"/>
          <w:szCs w:val="20"/>
          <w:lang w:val="en-US"/>
        </w:rPr>
        <w:t>an</w:t>
      </w:r>
      <w:r w:rsidR="00DB0EB0" w:rsidRPr="0035095E">
        <w:rPr>
          <w:rFonts w:ascii="Times New Roman" w:hAnsi="Times New Roman" w:cs="Times New Roman"/>
          <w:sz w:val="20"/>
          <w:szCs w:val="20"/>
          <w:lang w:val="en-US"/>
        </w:rPr>
        <w:t xml:space="preserve"> </w:t>
      </w:r>
      <w:r w:rsidR="00D658A5" w:rsidRPr="0035095E">
        <w:rPr>
          <w:rFonts w:ascii="Times New Roman" w:hAnsi="Times New Roman" w:cs="Times New Roman"/>
          <w:sz w:val="20"/>
          <w:szCs w:val="20"/>
          <w:lang w:val="en-US"/>
        </w:rPr>
        <w:t>stop working on it at any time.</w:t>
      </w:r>
      <w:r w:rsidR="00D5311F" w:rsidRPr="0035095E">
        <w:rPr>
          <w:rFonts w:ascii="Times New Roman" w:hAnsi="Times New Roman" w:cs="Times New Roman"/>
          <w:sz w:val="20"/>
          <w:szCs w:val="20"/>
          <w:lang w:val="en-US"/>
        </w:rPr>
        <w:t xml:space="preserve"> On average, participant</w:t>
      </w:r>
      <w:r w:rsidR="00D658A5" w:rsidRPr="0035095E">
        <w:rPr>
          <w:rFonts w:ascii="Times New Roman" w:hAnsi="Times New Roman" w:cs="Times New Roman"/>
          <w:sz w:val="20"/>
          <w:szCs w:val="20"/>
          <w:lang w:val="en-US"/>
        </w:rPr>
        <w:t>s t</w:t>
      </w:r>
      <w:r w:rsidR="001E479A" w:rsidRPr="0035095E">
        <w:rPr>
          <w:rFonts w:ascii="Times New Roman" w:hAnsi="Times New Roman" w:cs="Times New Roman"/>
          <w:sz w:val="20"/>
          <w:szCs w:val="20"/>
          <w:lang w:val="en-US"/>
        </w:rPr>
        <w:t>a</w:t>
      </w:r>
      <w:r w:rsidR="00D658A5" w:rsidRPr="0035095E">
        <w:rPr>
          <w:rFonts w:ascii="Times New Roman" w:hAnsi="Times New Roman" w:cs="Times New Roman"/>
          <w:sz w:val="20"/>
          <w:szCs w:val="20"/>
          <w:lang w:val="en-US"/>
        </w:rPr>
        <w:t>k</w:t>
      </w:r>
      <w:r w:rsidR="001E479A" w:rsidRPr="0035095E">
        <w:rPr>
          <w:rFonts w:ascii="Times New Roman" w:hAnsi="Times New Roman" w:cs="Times New Roman"/>
          <w:sz w:val="20"/>
          <w:szCs w:val="20"/>
          <w:lang w:val="en-US"/>
        </w:rPr>
        <w:t>e</w:t>
      </w:r>
      <w:r w:rsidR="00D658A5" w:rsidRPr="0035095E">
        <w:rPr>
          <w:rFonts w:ascii="Times New Roman" w:hAnsi="Times New Roman" w:cs="Times New Roman"/>
          <w:sz w:val="20"/>
          <w:szCs w:val="20"/>
          <w:lang w:val="en-US"/>
        </w:rPr>
        <w:t xml:space="preserve"> 15 minutes to complete the survey</w:t>
      </w:r>
      <w:r w:rsidR="00DB0EB0" w:rsidRPr="0035095E">
        <w:rPr>
          <w:rFonts w:ascii="Times New Roman" w:hAnsi="Times New Roman" w:cs="Times New Roman"/>
          <w:sz w:val="20"/>
          <w:szCs w:val="20"/>
          <w:lang w:val="en-US"/>
        </w:rPr>
        <w:t>, and</w:t>
      </w:r>
      <w:r w:rsidR="00D658A5" w:rsidRPr="0035095E">
        <w:rPr>
          <w:rFonts w:ascii="Times New Roman" w:hAnsi="Times New Roman" w:cs="Times New Roman"/>
          <w:sz w:val="20"/>
          <w:szCs w:val="20"/>
          <w:lang w:val="en-US"/>
        </w:rPr>
        <w:t xml:space="preserve"> </w:t>
      </w:r>
      <w:r w:rsidR="00DB0EB0" w:rsidRPr="0035095E">
        <w:rPr>
          <w:rFonts w:ascii="Times New Roman" w:hAnsi="Times New Roman" w:cs="Times New Roman"/>
          <w:sz w:val="20"/>
          <w:szCs w:val="20"/>
          <w:lang w:val="en-US"/>
        </w:rPr>
        <w:t>a</w:t>
      </w:r>
      <w:r w:rsidR="001C4121" w:rsidRPr="0035095E">
        <w:rPr>
          <w:rFonts w:ascii="Times New Roman" w:hAnsi="Times New Roman" w:cs="Times New Roman"/>
          <w:sz w:val="20"/>
          <w:szCs w:val="20"/>
          <w:lang w:val="en-US"/>
        </w:rPr>
        <w:t xml:space="preserve">t the end, a section </w:t>
      </w:r>
      <w:r w:rsidR="00DB0EB0" w:rsidRPr="0035095E">
        <w:rPr>
          <w:rFonts w:ascii="Times New Roman" w:hAnsi="Times New Roman" w:cs="Times New Roman"/>
          <w:sz w:val="20"/>
          <w:szCs w:val="20"/>
          <w:lang w:val="en-US"/>
        </w:rPr>
        <w:t>ask</w:t>
      </w:r>
      <w:r w:rsidR="001E479A" w:rsidRPr="0035095E">
        <w:rPr>
          <w:rFonts w:ascii="Times New Roman" w:hAnsi="Times New Roman" w:cs="Times New Roman"/>
          <w:sz w:val="20"/>
          <w:szCs w:val="20"/>
          <w:lang w:val="en-US"/>
        </w:rPr>
        <w:t>s</w:t>
      </w:r>
      <w:r w:rsidR="00DB0EB0" w:rsidRPr="0035095E">
        <w:rPr>
          <w:rFonts w:ascii="Times New Roman" w:hAnsi="Times New Roman" w:cs="Times New Roman"/>
          <w:sz w:val="20"/>
          <w:szCs w:val="20"/>
          <w:lang w:val="en-US"/>
        </w:rPr>
        <w:t xml:space="preserve"> them for </w:t>
      </w:r>
      <w:r w:rsidR="001C4121" w:rsidRPr="0035095E">
        <w:rPr>
          <w:rFonts w:ascii="Times New Roman" w:hAnsi="Times New Roman" w:cs="Times New Roman"/>
          <w:sz w:val="20"/>
          <w:szCs w:val="20"/>
          <w:lang w:val="en-US"/>
        </w:rPr>
        <w:t xml:space="preserve">open-ended comments </w:t>
      </w:r>
      <w:r w:rsidR="003A2D16" w:rsidRPr="0035095E">
        <w:rPr>
          <w:rFonts w:ascii="Times New Roman" w:hAnsi="Times New Roman" w:cs="Times New Roman"/>
          <w:sz w:val="20"/>
          <w:szCs w:val="20"/>
          <w:lang w:val="en-US"/>
        </w:rPr>
        <w:t>and/</w:t>
      </w:r>
      <w:r w:rsidR="001C4121" w:rsidRPr="0035095E">
        <w:rPr>
          <w:rFonts w:ascii="Times New Roman" w:hAnsi="Times New Roman" w:cs="Times New Roman"/>
          <w:sz w:val="20"/>
          <w:szCs w:val="20"/>
          <w:lang w:val="en-US"/>
        </w:rPr>
        <w:t>or suggestions.</w:t>
      </w:r>
      <w:r w:rsidR="00885D10" w:rsidRPr="0035095E">
        <w:rPr>
          <w:rFonts w:ascii="Times New Roman" w:hAnsi="Times New Roman" w:cs="Times New Roman"/>
          <w:sz w:val="20"/>
          <w:szCs w:val="20"/>
          <w:lang w:val="en-US"/>
        </w:rPr>
        <w:t xml:space="preserve"> Responses that are considered useful samples are those that include at least three out of the five financial literacy questions and at least nine out of the 14 tax questions.</w:t>
      </w:r>
      <w:r w:rsidR="00885D10" w:rsidRPr="0035095E">
        <w:rPr>
          <w:rStyle w:val="FootnoteReference"/>
          <w:rFonts w:ascii="Times New Roman" w:hAnsi="Times New Roman" w:cs="Times New Roman"/>
          <w:sz w:val="20"/>
          <w:szCs w:val="20"/>
          <w:lang w:val="en-US"/>
        </w:rPr>
        <w:footnoteReference w:id="7"/>
      </w:r>
      <w:r w:rsidR="0035095E">
        <w:rPr>
          <w:rFonts w:ascii="Times New Roman" w:hAnsi="Times New Roman" w:cs="Times New Roman"/>
          <w:sz w:val="20"/>
          <w:szCs w:val="20"/>
          <w:lang w:val="en-US"/>
        </w:rPr>
        <w:t xml:space="preserve">  </w:t>
      </w:r>
    </w:p>
    <w:p w14:paraId="775F67DD" w14:textId="77777777" w:rsidR="0035095E" w:rsidRPr="0035095E" w:rsidRDefault="0035095E" w:rsidP="00C45D4F">
      <w:pPr>
        <w:rPr>
          <w:rFonts w:ascii="Times New Roman" w:hAnsi="Times New Roman" w:cs="Times New Roman"/>
          <w:sz w:val="20"/>
          <w:szCs w:val="20"/>
          <w:lang w:val="en-US"/>
        </w:rPr>
      </w:pPr>
    </w:p>
    <w:p w14:paraId="35849768" w14:textId="1E5B20F6" w:rsidR="00864EB5" w:rsidRDefault="00D5311F" w:rsidP="00C45D4F">
      <w:pPr>
        <w:rPr>
          <w:rFonts w:ascii="Times New Roman" w:hAnsi="Times New Roman" w:cs="Times New Roman"/>
          <w:sz w:val="20"/>
          <w:szCs w:val="20"/>
          <w:lang w:val="en-US"/>
        </w:rPr>
      </w:pPr>
      <w:r w:rsidRPr="0035095E">
        <w:rPr>
          <w:rFonts w:ascii="Times New Roman" w:hAnsi="Times New Roman" w:cs="Times New Roman"/>
          <w:sz w:val="20"/>
          <w:szCs w:val="20"/>
          <w:lang w:val="en-US"/>
        </w:rPr>
        <w:t xml:space="preserve">Among the five </w:t>
      </w:r>
      <w:r w:rsidR="009954BC" w:rsidRPr="0035095E">
        <w:rPr>
          <w:rFonts w:ascii="Times New Roman" w:hAnsi="Times New Roman" w:cs="Times New Roman"/>
          <w:sz w:val="20"/>
          <w:szCs w:val="20"/>
          <w:lang w:val="en-US"/>
        </w:rPr>
        <w:t>FQs</w:t>
      </w:r>
      <w:r w:rsidRPr="0035095E">
        <w:rPr>
          <w:rFonts w:ascii="Times New Roman" w:hAnsi="Times New Roman" w:cs="Times New Roman"/>
          <w:sz w:val="20"/>
          <w:szCs w:val="20"/>
          <w:lang w:val="en-US"/>
        </w:rPr>
        <w:t>, t</w:t>
      </w:r>
      <w:r w:rsidR="006649AE" w:rsidRPr="0035095E">
        <w:rPr>
          <w:rFonts w:ascii="Times New Roman" w:hAnsi="Times New Roman" w:cs="Times New Roman"/>
          <w:sz w:val="20"/>
          <w:szCs w:val="20"/>
          <w:lang w:val="en-US"/>
        </w:rPr>
        <w:t xml:space="preserve">he first three are standard financial knowledge questions that are commonly </w:t>
      </w:r>
      <w:r w:rsidR="00D658A5" w:rsidRPr="0035095E">
        <w:rPr>
          <w:rFonts w:ascii="Times New Roman" w:hAnsi="Times New Roman" w:cs="Times New Roman"/>
          <w:sz w:val="20"/>
          <w:szCs w:val="20"/>
          <w:lang w:val="en-US"/>
        </w:rPr>
        <w:t>adopted</w:t>
      </w:r>
      <w:r w:rsidR="006649AE" w:rsidRPr="0035095E">
        <w:rPr>
          <w:rFonts w:ascii="Times New Roman" w:hAnsi="Times New Roman" w:cs="Times New Roman"/>
          <w:sz w:val="20"/>
          <w:szCs w:val="20"/>
          <w:lang w:val="en-US"/>
        </w:rPr>
        <w:t xml:space="preserve"> in financial literacy surveys</w:t>
      </w:r>
      <w:r w:rsidR="002923BD" w:rsidRPr="0035095E">
        <w:rPr>
          <w:rFonts w:ascii="Times New Roman" w:hAnsi="Times New Roman" w:cs="Times New Roman"/>
          <w:sz w:val="20"/>
          <w:szCs w:val="20"/>
          <w:lang w:val="en-US"/>
        </w:rPr>
        <w:t xml:space="preserve"> </w:t>
      </w:r>
      <w:r w:rsidR="00EC36AF" w:rsidRPr="0035095E">
        <w:rPr>
          <w:rFonts w:ascii="Times New Roman" w:hAnsi="Times New Roman" w:cs="Times New Roman"/>
          <w:bCs/>
          <w:iCs/>
          <w:sz w:val="20"/>
          <w:szCs w:val="20"/>
          <w:lang w:val="en-US"/>
        </w:rPr>
        <w:t>(Lusardi and Mitchell 2011)</w:t>
      </w:r>
      <w:r w:rsidR="006649AE" w:rsidRPr="0035095E">
        <w:rPr>
          <w:rFonts w:ascii="Times New Roman" w:hAnsi="Times New Roman" w:cs="Times New Roman"/>
          <w:sz w:val="20"/>
          <w:szCs w:val="20"/>
          <w:lang w:val="en-US"/>
        </w:rPr>
        <w:t xml:space="preserve">. We </w:t>
      </w:r>
      <w:proofErr w:type="gramStart"/>
      <w:r w:rsidR="006649AE" w:rsidRPr="0035095E">
        <w:rPr>
          <w:rFonts w:ascii="Times New Roman" w:hAnsi="Times New Roman" w:cs="Times New Roman"/>
          <w:sz w:val="20"/>
          <w:szCs w:val="20"/>
          <w:lang w:val="en-US"/>
        </w:rPr>
        <w:t>create</w:t>
      </w:r>
      <w:proofErr w:type="gramEnd"/>
      <w:r w:rsidR="006649AE" w:rsidRPr="0035095E">
        <w:rPr>
          <w:rFonts w:ascii="Times New Roman" w:hAnsi="Times New Roman" w:cs="Times New Roman"/>
          <w:sz w:val="20"/>
          <w:szCs w:val="20"/>
          <w:lang w:val="en-US"/>
        </w:rPr>
        <w:t xml:space="preserve"> two additional questions </w:t>
      </w:r>
      <w:r w:rsidR="00B97A26" w:rsidRPr="0035095E">
        <w:rPr>
          <w:rFonts w:ascii="Times New Roman" w:hAnsi="Times New Roman" w:cs="Times New Roman"/>
          <w:sz w:val="20"/>
          <w:szCs w:val="20"/>
          <w:lang w:val="en-US"/>
        </w:rPr>
        <w:t xml:space="preserve">(FQ4 and FQ5) </w:t>
      </w:r>
      <w:r w:rsidR="00D62706" w:rsidRPr="0035095E">
        <w:rPr>
          <w:rFonts w:ascii="Times New Roman" w:hAnsi="Times New Roman" w:cs="Times New Roman"/>
          <w:sz w:val="20"/>
          <w:szCs w:val="20"/>
          <w:lang w:val="en-US"/>
        </w:rPr>
        <w:t xml:space="preserve">to increase the variation of </w:t>
      </w:r>
      <w:r w:rsidRPr="0035095E">
        <w:rPr>
          <w:rFonts w:ascii="Times New Roman" w:hAnsi="Times New Roman" w:cs="Times New Roman"/>
          <w:sz w:val="20"/>
          <w:szCs w:val="20"/>
          <w:lang w:val="en-US"/>
        </w:rPr>
        <w:t>financial literacy</w:t>
      </w:r>
      <w:r w:rsidR="00D62706" w:rsidRPr="0035095E">
        <w:rPr>
          <w:rFonts w:ascii="Times New Roman" w:hAnsi="Times New Roman" w:cs="Times New Roman"/>
          <w:sz w:val="20"/>
          <w:szCs w:val="20"/>
          <w:lang w:val="en-US"/>
        </w:rPr>
        <w:t xml:space="preserve"> </w:t>
      </w:r>
      <w:r w:rsidR="003A2D16" w:rsidRPr="0035095E">
        <w:rPr>
          <w:rFonts w:ascii="Times New Roman" w:hAnsi="Times New Roman" w:cs="Times New Roman"/>
          <w:sz w:val="20"/>
          <w:szCs w:val="20"/>
          <w:lang w:val="en-US"/>
        </w:rPr>
        <w:t xml:space="preserve">and </w:t>
      </w:r>
      <w:r w:rsidR="009270A4" w:rsidRPr="0035095E">
        <w:rPr>
          <w:rFonts w:ascii="Times New Roman" w:hAnsi="Times New Roman" w:cs="Times New Roman"/>
          <w:sz w:val="20"/>
          <w:szCs w:val="20"/>
          <w:lang w:val="en-US"/>
        </w:rPr>
        <w:t xml:space="preserve">to </w:t>
      </w:r>
      <w:r w:rsidR="00EC36AF" w:rsidRPr="0035095E">
        <w:rPr>
          <w:rFonts w:ascii="Times New Roman" w:hAnsi="Times New Roman" w:cs="Times New Roman"/>
          <w:sz w:val="20"/>
          <w:szCs w:val="20"/>
          <w:lang w:val="en-US"/>
        </w:rPr>
        <w:t>better gauge student</w:t>
      </w:r>
      <w:r w:rsidR="00D62706" w:rsidRPr="0035095E">
        <w:rPr>
          <w:rFonts w:ascii="Times New Roman" w:hAnsi="Times New Roman" w:cs="Times New Roman"/>
          <w:sz w:val="20"/>
          <w:szCs w:val="20"/>
          <w:lang w:val="en-US"/>
        </w:rPr>
        <w:t>s</w:t>
      </w:r>
      <w:r w:rsidR="00EC36AF" w:rsidRPr="0035095E">
        <w:rPr>
          <w:rFonts w:ascii="Times New Roman" w:hAnsi="Times New Roman" w:cs="Times New Roman"/>
          <w:sz w:val="20"/>
          <w:szCs w:val="20"/>
          <w:lang w:val="en-US"/>
        </w:rPr>
        <w:t>’</w:t>
      </w:r>
      <w:r w:rsidR="00D62706" w:rsidRPr="0035095E">
        <w:rPr>
          <w:rFonts w:ascii="Times New Roman" w:hAnsi="Times New Roman" w:cs="Times New Roman"/>
          <w:sz w:val="20"/>
          <w:szCs w:val="20"/>
          <w:lang w:val="en-US"/>
        </w:rPr>
        <w:t xml:space="preserve"> financial literacy</w:t>
      </w:r>
      <w:r w:rsidR="006649AE" w:rsidRPr="0035095E">
        <w:rPr>
          <w:rFonts w:ascii="Times New Roman" w:hAnsi="Times New Roman" w:cs="Times New Roman"/>
          <w:sz w:val="20"/>
          <w:szCs w:val="20"/>
          <w:lang w:val="en-US"/>
        </w:rPr>
        <w:t xml:space="preserve">. The </w:t>
      </w:r>
      <w:r w:rsidR="003A2D16" w:rsidRPr="0035095E">
        <w:rPr>
          <w:rFonts w:ascii="Times New Roman" w:hAnsi="Times New Roman" w:cs="Times New Roman"/>
          <w:sz w:val="20"/>
          <w:szCs w:val="20"/>
          <w:lang w:val="en-US"/>
        </w:rPr>
        <w:t xml:space="preserve">latter </w:t>
      </w:r>
      <w:r w:rsidR="006649AE" w:rsidRPr="0035095E">
        <w:rPr>
          <w:rFonts w:ascii="Times New Roman" w:hAnsi="Times New Roman" w:cs="Times New Roman"/>
          <w:sz w:val="20"/>
          <w:szCs w:val="20"/>
          <w:lang w:val="en-US"/>
        </w:rPr>
        <w:t xml:space="preserve">two questions focus on interest and loan rates but </w:t>
      </w:r>
      <w:r w:rsidR="005B209D" w:rsidRPr="0035095E">
        <w:rPr>
          <w:rFonts w:ascii="Times New Roman" w:hAnsi="Times New Roman" w:cs="Times New Roman"/>
          <w:sz w:val="20"/>
          <w:szCs w:val="20"/>
          <w:lang w:val="en-US"/>
        </w:rPr>
        <w:t>are</w:t>
      </w:r>
      <w:r w:rsidR="007D28C9" w:rsidRPr="0035095E">
        <w:rPr>
          <w:rFonts w:ascii="Times New Roman" w:hAnsi="Times New Roman" w:cs="Times New Roman"/>
          <w:sz w:val="20"/>
          <w:szCs w:val="20"/>
          <w:lang w:val="en-US"/>
        </w:rPr>
        <w:t xml:space="preserve"> </w:t>
      </w:r>
      <w:r w:rsidR="006649AE" w:rsidRPr="0035095E">
        <w:rPr>
          <w:rFonts w:ascii="Times New Roman" w:hAnsi="Times New Roman" w:cs="Times New Roman"/>
          <w:sz w:val="20"/>
          <w:szCs w:val="20"/>
          <w:lang w:val="en-US"/>
        </w:rPr>
        <w:t>frame</w:t>
      </w:r>
      <w:r w:rsidR="007D28C9" w:rsidRPr="0035095E">
        <w:rPr>
          <w:rFonts w:ascii="Times New Roman" w:hAnsi="Times New Roman" w:cs="Times New Roman"/>
          <w:sz w:val="20"/>
          <w:szCs w:val="20"/>
          <w:lang w:val="en-US"/>
        </w:rPr>
        <w:t>d</w:t>
      </w:r>
      <w:r w:rsidR="006649AE" w:rsidRPr="0035095E">
        <w:rPr>
          <w:rFonts w:ascii="Times New Roman" w:hAnsi="Times New Roman" w:cs="Times New Roman"/>
          <w:sz w:val="20"/>
          <w:szCs w:val="20"/>
          <w:lang w:val="en-US"/>
        </w:rPr>
        <w:t xml:space="preserve"> differently. </w:t>
      </w:r>
      <w:r w:rsidR="00864EB5" w:rsidRPr="0035095E">
        <w:rPr>
          <w:rFonts w:ascii="Times New Roman" w:hAnsi="Times New Roman" w:cs="Times New Roman"/>
          <w:sz w:val="20"/>
          <w:szCs w:val="20"/>
          <w:lang w:val="en-US"/>
        </w:rPr>
        <w:t xml:space="preserve">Table 1 reports the five </w:t>
      </w:r>
      <w:r w:rsidR="002A05F6" w:rsidRPr="0035095E">
        <w:rPr>
          <w:rFonts w:ascii="Times New Roman" w:hAnsi="Times New Roman" w:cs="Times New Roman"/>
          <w:sz w:val="20"/>
          <w:szCs w:val="20"/>
          <w:lang w:val="en-US"/>
        </w:rPr>
        <w:t>FQs</w:t>
      </w:r>
      <w:r w:rsidRPr="0035095E">
        <w:rPr>
          <w:rFonts w:ascii="Times New Roman" w:hAnsi="Times New Roman" w:cs="Times New Roman"/>
          <w:sz w:val="20"/>
          <w:szCs w:val="20"/>
          <w:lang w:val="en-US"/>
        </w:rPr>
        <w:t xml:space="preserve"> and the percentage of correct answers</w:t>
      </w:r>
      <w:r w:rsidR="00864EB5" w:rsidRPr="0035095E">
        <w:rPr>
          <w:rFonts w:ascii="Times New Roman" w:hAnsi="Times New Roman" w:cs="Times New Roman"/>
          <w:sz w:val="20"/>
          <w:szCs w:val="20"/>
          <w:lang w:val="en-US"/>
        </w:rPr>
        <w:t>.</w:t>
      </w:r>
      <w:r w:rsidR="0035095E">
        <w:rPr>
          <w:rFonts w:ascii="Times New Roman" w:hAnsi="Times New Roman" w:cs="Times New Roman"/>
          <w:sz w:val="20"/>
          <w:szCs w:val="20"/>
          <w:lang w:val="en-US"/>
        </w:rPr>
        <w:t xml:space="preserve">  </w:t>
      </w:r>
    </w:p>
    <w:p w14:paraId="03B69B15" w14:textId="77777777" w:rsidR="0035095E" w:rsidRPr="0035095E" w:rsidRDefault="0035095E" w:rsidP="00C45D4F">
      <w:pPr>
        <w:rPr>
          <w:rFonts w:ascii="Times New Roman" w:hAnsi="Times New Roman" w:cs="Times New Roman"/>
          <w:sz w:val="20"/>
          <w:szCs w:val="20"/>
          <w:lang w:val="en-US"/>
        </w:rPr>
      </w:pPr>
    </w:p>
    <w:p w14:paraId="7D705340" w14:textId="64F1C69D" w:rsidR="006649AE" w:rsidRDefault="00864EB5" w:rsidP="00C45D4F">
      <w:pPr>
        <w:rPr>
          <w:rFonts w:ascii="Times New Roman" w:hAnsi="Times New Roman" w:cs="Times New Roman"/>
          <w:sz w:val="20"/>
          <w:szCs w:val="20"/>
          <w:lang w:val="en-US"/>
        </w:rPr>
      </w:pPr>
      <w:r w:rsidRPr="0035095E">
        <w:rPr>
          <w:rFonts w:ascii="Times New Roman" w:hAnsi="Times New Roman" w:cs="Times New Roman"/>
          <w:sz w:val="20"/>
          <w:szCs w:val="20"/>
          <w:lang w:val="en-US"/>
        </w:rPr>
        <w:t xml:space="preserve">For the </w:t>
      </w:r>
      <w:r w:rsidR="009954BC" w:rsidRPr="0035095E">
        <w:rPr>
          <w:rFonts w:ascii="Times New Roman" w:hAnsi="Times New Roman" w:cs="Times New Roman"/>
          <w:sz w:val="20"/>
          <w:szCs w:val="20"/>
          <w:lang w:val="en-US"/>
        </w:rPr>
        <w:t>TQs</w:t>
      </w:r>
      <w:r w:rsidRPr="0035095E">
        <w:rPr>
          <w:rFonts w:ascii="Times New Roman" w:hAnsi="Times New Roman" w:cs="Times New Roman"/>
          <w:sz w:val="20"/>
          <w:szCs w:val="20"/>
          <w:lang w:val="en-US"/>
        </w:rPr>
        <w:t>, w</w:t>
      </w:r>
      <w:r w:rsidR="006649AE" w:rsidRPr="0035095E">
        <w:rPr>
          <w:rFonts w:ascii="Times New Roman" w:hAnsi="Times New Roman" w:cs="Times New Roman"/>
          <w:sz w:val="20"/>
          <w:szCs w:val="20"/>
          <w:lang w:val="en-US"/>
        </w:rPr>
        <w:t>e includ</w:t>
      </w:r>
      <w:r w:rsidR="00B51C48" w:rsidRPr="0035095E">
        <w:rPr>
          <w:rFonts w:ascii="Times New Roman" w:hAnsi="Times New Roman" w:cs="Times New Roman"/>
          <w:sz w:val="20"/>
          <w:szCs w:val="20"/>
          <w:lang w:val="en-US"/>
        </w:rPr>
        <w:t>e</w:t>
      </w:r>
      <w:r w:rsidR="006649AE" w:rsidRPr="0035095E">
        <w:rPr>
          <w:rFonts w:ascii="Times New Roman" w:hAnsi="Times New Roman" w:cs="Times New Roman"/>
          <w:sz w:val="20"/>
          <w:szCs w:val="20"/>
          <w:lang w:val="en-US"/>
        </w:rPr>
        <w:t xml:space="preserve"> a variety of questions that test participants’ knowledge of </w:t>
      </w:r>
      <w:r w:rsidRPr="0035095E">
        <w:rPr>
          <w:rFonts w:ascii="Times New Roman" w:hAnsi="Times New Roman" w:cs="Times New Roman"/>
          <w:sz w:val="20"/>
          <w:szCs w:val="20"/>
          <w:lang w:val="en-US"/>
        </w:rPr>
        <w:t xml:space="preserve">basic </w:t>
      </w:r>
      <w:r w:rsidR="006649AE" w:rsidRPr="0035095E">
        <w:rPr>
          <w:rFonts w:ascii="Times New Roman" w:hAnsi="Times New Roman" w:cs="Times New Roman"/>
          <w:sz w:val="20"/>
          <w:szCs w:val="20"/>
          <w:lang w:val="en-US"/>
        </w:rPr>
        <w:t>tax concepts</w:t>
      </w:r>
      <w:r w:rsidR="00B51C48" w:rsidRPr="0035095E">
        <w:rPr>
          <w:rFonts w:ascii="Times New Roman" w:hAnsi="Times New Roman" w:cs="Times New Roman"/>
          <w:sz w:val="20"/>
          <w:szCs w:val="20"/>
          <w:lang w:val="en-US"/>
        </w:rPr>
        <w:t xml:space="preserve">, </w:t>
      </w:r>
      <w:r w:rsidR="00265784" w:rsidRPr="0035095E">
        <w:rPr>
          <w:rFonts w:ascii="Times New Roman" w:hAnsi="Times New Roman" w:cs="Times New Roman"/>
          <w:sz w:val="20"/>
          <w:szCs w:val="20"/>
          <w:lang w:val="en-US"/>
        </w:rPr>
        <w:t>such as</w:t>
      </w:r>
      <w:r w:rsidR="00B51C48" w:rsidRPr="0035095E">
        <w:rPr>
          <w:rFonts w:ascii="Times New Roman" w:hAnsi="Times New Roman" w:cs="Times New Roman"/>
          <w:sz w:val="20"/>
          <w:szCs w:val="20"/>
          <w:lang w:val="en-US"/>
        </w:rPr>
        <w:t xml:space="preserve"> </w:t>
      </w:r>
      <w:r w:rsidR="0019037F" w:rsidRPr="0035095E">
        <w:rPr>
          <w:rFonts w:ascii="Times New Roman" w:hAnsi="Times New Roman" w:cs="Times New Roman"/>
          <w:sz w:val="20"/>
          <w:szCs w:val="20"/>
          <w:lang w:val="en-US"/>
        </w:rPr>
        <w:t>taxable income</w:t>
      </w:r>
      <w:r w:rsidR="00EC36AF" w:rsidRPr="0035095E">
        <w:rPr>
          <w:rFonts w:ascii="Times New Roman" w:hAnsi="Times New Roman" w:cs="Times New Roman"/>
          <w:sz w:val="20"/>
          <w:szCs w:val="20"/>
          <w:lang w:val="en-US"/>
        </w:rPr>
        <w:t xml:space="preserve">, deductible expenses, </w:t>
      </w:r>
      <w:r w:rsidR="0043061E" w:rsidRPr="0035095E">
        <w:rPr>
          <w:rFonts w:ascii="Times New Roman" w:hAnsi="Times New Roman" w:cs="Times New Roman"/>
          <w:sz w:val="20"/>
          <w:szCs w:val="20"/>
          <w:lang w:val="en-US"/>
        </w:rPr>
        <w:t>standard or itemized deduction</w:t>
      </w:r>
      <w:r w:rsidR="00410A44" w:rsidRPr="0035095E">
        <w:rPr>
          <w:rFonts w:ascii="Times New Roman" w:hAnsi="Times New Roman" w:cs="Times New Roman"/>
          <w:sz w:val="20"/>
          <w:szCs w:val="20"/>
          <w:lang w:val="en-US"/>
        </w:rPr>
        <w:t>s</w:t>
      </w:r>
      <w:r w:rsidR="00EC36AF" w:rsidRPr="0035095E">
        <w:rPr>
          <w:rFonts w:ascii="Times New Roman" w:hAnsi="Times New Roman" w:cs="Times New Roman"/>
          <w:sz w:val="20"/>
          <w:szCs w:val="20"/>
          <w:lang w:val="en-US"/>
        </w:rPr>
        <w:t xml:space="preserve">, </w:t>
      </w:r>
      <w:r w:rsidR="000B6E7E" w:rsidRPr="0035095E">
        <w:rPr>
          <w:rFonts w:ascii="Times New Roman" w:hAnsi="Times New Roman" w:cs="Times New Roman"/>
          <w:sz w:val="20"/>
          <w:szCs w:val="20"/>
          <w:lang w:val="en-US"/>
        </w:rPr>
        <w:t>progressive tax rates</w:t>
      </w:r>
      <w:r w:rsidRPr="0035095E">
        <w:rPr>
          <w:rFonts w:ascii="Times New Roman" w:hAnsi="Times New Roman" w:cs="Times New Roman"/>
          <w:sz w:val="20"/>
          <w:szCs w:val="20"/>
          <w:lang w:val="en-US"/>
        </w:rPr>
        <w:t>,</w:t>
      </w:r>
      <w:r w:rsidR="001F1DEB" w:rsidRPr="0035095E">
        <w:rPr>
          <w:rFonts w:ascii="Times New Roman" w:hAnsi="Times New Roman" w:cs="Times New Roman"/>
          <w:sz w:val="20"/>
          <w:szCs w:val="20"/>
          <w:lang w:val="en-US"/>
        </w:rPr>
        <w:t xml:space="preserve"> </w:t>
      </w:r>
      <w:r w:rsidR="00EC36AF" w:rsidRPr="0035095E">
        <w:rPr>
          <w:rFonts w:ascii="Times New Roman" w:hAnsi="Times New Roman" w:cs="Times New Roman"/>
          <w:sz w:val="20"/>
          <w:szCs w:val="20"/>
          <w:lang w:val="en-US"/>
        </w:rPr>
        <w:t xml:space="preserve">calculation of taxable income, </w:t>
      </w:r>
      <w:r w:rsidR="000B6E7E" w:rsidRPr="0035095E">
        <w:rPr>
          <w:rFonts w:ascii="Times New Roman" w:hAnsi="Times New Roman" w:cs="Times New Roman"/>
          <w:sz w:val="20"/>
          <w:szCs w:val="20"/>
          <w:lang w:val="en-US"/>
        </w:rPr>
        <w:t>tax refund</w:t>
      </w:r>
      <w:r w:rsidR="00410A44" w:rsidRPr="0035095E">
        <w:rPr>
          <w:rFonts w:ascii="Times New Roman" w:hAnsi="Times New Roman" w:cs="Times New Roman"/>
          <w:sz w:val="20"/>
          <w:szCs w:val="20"/>
          <w:lang w:val="en-US"/>
        </w:rPr>
        <w:t>s</w:t>
      </w:r>
      <w:r w:rsidR="000B6E7E" w:rsidRPr="0035095E">
        <w:rPr>
          <w:rFonts w:ascii="Times New Roman" w:hAnsi="Times New Roman" w:cs="Times New Roman"/>
          <w:sz w:val="20"/>
          <w:szCs w:val="20"/>
          <w:lang w:val="en-US"/>
        </w:rPr>
        <w:t xml:space="preserve"> </w:t>
      </w:r>
      <w:r w:rsidR="00EC36AF" w:rsidRPr="0035095E">
        <w:rPr>
          <w:rFonts w:ascii="Times New Roman" w:hAnsi="Times New Roman" w:cs="Times New Roman"/>
          <w:sz w:val="20"/>
          <w:szCs w:val="20"/>
          <w:lang w:val="en-US"/>
        </w:rPr>
        <w:t xml:space="preserve">and </w:t>
      </w:r>
      <w:r w:rsidR="000B6E7E" w:rsidRPr="0035095E">
        <w:rPr>
          <w:rFonts w:ascii="Times New Roman" w:hAnsi="Times New Roman" w:cs="Times New Roman"/>
          <w:sz w:val="20"/>
          <w:szCs w:val="20"/>
          <w:lang w:val="en-US"/>
        </w:rPr>
        <w:t>tax liability</w:t>
      </w:r>
      <w:r w:rsidR="00EC36AF" w:rsidRPr="0035095E">
        <w:rPr>
          <w:rFonts w:ascii="Times New Roman" w:hAnsi="Times New Roman" w:cs="Times New Roman"/>
          <w:sz w:val="20"/>
          <w:szCs w:val="20"/>
          <w:lang w:val="en-US"/>
        </w:rPr>
        <w:t xml:space="preserve">, </w:t>
      </w:r>
      <w:r w:rsidR="00DD2711" w:rsidRPr="0035095E">
        <w:rPr>
          <w:rFonts w:ascii="Times New Roman" w:hAnsi="Times New Roman" w:cs="Times New Roman"/>
          <w:sz w:val="20"/>
          <w:szCs w:val="20"/>
          <w:lang w:val="en-US"/>
        </w:rPr>
        <w:t>the deductibility of 401(k) contributions</w:t>
      </w:r>
      <w:r w:rsidR="00EC36AF" w:rsidRPr="0035095E">
        <w:rPr>
          <w:rFonts w:ascii="Times New Roman" w:hAnsi="Times New Roman" w:cs="Times New Roman"/>
          <w:sz w:val="20"/>
          <w:szCs w:val="20"/>
          <w:lang w:val="en-US"/>
        </w:rPr>
        <w:t xml:space="preserve">, tax </w:t>
      </w:r>
      <w:r w:rsidR="00DD2711" w:rsidRPr="0035095E">
        <w:rPr>
          <w:rFonts w:ascii="Times New Roman" w:hAnsi="Times New Roman" w:cs="Times New Roman"/>
          <w:sz w:val="20"/>
          <w:szCs w:val="20"/>
          <w:lang w:val="en-US"/>
        </w:rPr>
        <w:t>rates</w:t>
      </w:r>
      <w:r w:rsidR="00EC36AF" w:rsidRPr="0035095E">
        <w:rPr>
          <w:rFonts w:ascii="Times New Roman" w:hAnsi="Times New Roman" w:cs="Times New Roman"/>
          <w:sz w:val="20"/>
          <w:szCs w:val="20"/>
          <w:lang w:val="en-US"/>
        </w:rPr>
        <w:t xml:space="preserve"> on dividends, and </w:t>
      </w:r>
      <w:r w:rsidR="00FC217B" w:rsidRPr="0035095E">
        <w:rPr>
          <w:rFonts w:ascii="Times New Roman" w:hAnsi="Times New Roman" w:cs="Times New Roman"/>
          <w:sz w:val="20"/>
          <w:szCs w:val="20"/>
          <w:lang w:val="en-US"/>
        </w:rPr>
        <w:t xml:space="preserve">a </w:t>
      </w:r>
      <w:r w:rsidR="00EC36AF" w:rsidRPr="0035095E">
        <w:rPr>
          <w:rFonts w:ascii="Times New Roman" w:hAnsi="Times New Roman" w:cs="Times New Roman"/>
          <w:sz w:val="20"/>
          <w:szCs w:val="20"/>
          <w:lang w:val="en-US"/>
        </w:rPr>
        <w:t>c</w:t>
      </w:r>
      <w:r w:rsidR="004941C5" w:rsidRPr="0035095E">
        <w:rPr>
          <w:rFonts w:ascii="Times New Roman" w:hAnsi="Times New Roman" w:cs="Times New Roman"/>
          <w:sz w:val="20"/>
          <w:szCs w:val="20"/>
          <w:lang w:val="en-US"/>
        </w:rPr>
        <w:t>ompar</w:t>
      </w:r>
      <w:r w:rsidR="00EC36AF" w:rsidRPr="0035095E">
        <w:rPr>
          <w:rFonts w:ascii="Times New Roman" w:hAnsi="Times New Roman" w:cs="Times New Roman"/>
          <w:sz w:val="20"/>
          <w:szCs w:val="20"/>
          <w:lang w:val="en-US"/>
        </w:rPr>
        <w:t>ison of</w:t>
      </w:r>
      <w:r w:rsidR="004941C5" w:rsidRPr="0035095E">
        <w:rPr>
          <w:rFonts w:ascii="Times New Roman" w:hAnsi="Times New Roman" w:cs="Times New Roman"/>
          <w:sz w:val="20"/>
          <w:szCs w:val="20"/>
          <w:lang w:val="en-US"/>
        </w:rPr>
        <w:t xml:space="preserve"> tax credits and tax deductions. </w:t>
      </w:r>
      <w:r w:rsidRPr="0035095E">
        <w:rPr>
          <w:rFonts w:ascii="Times New Roman" w:hAnsi="Times New Roman" w:cs="Times New Roman"/>
          <w:sz w:val="20"/>
          <w:szCs w:val="20"/>
          <w:lang w:val="en-US"/>
        </w:rPr>
        <w:t xml:space="preserve">Table 2 lists the </w:t>
      </w:r>
      <w:r w:rsidR="00A32F0C" w:rsidRPr="0035095E">
        <w:rPr>
          <w:rFonts w:ascii="Times New Roman" w:hAnsi="Times New Roman" w:cs="Times New Roman"/>
          <w:sz w:val="20"/>
          <w:szCs w:val="20"/>
          <w:lang w:val="en-US"/>
        </w:rPr>
        <w:t>TQs</w:t>
      </w:r>
      <w:r w:rsidRPr="0035095E">
        <w:rPr>
          <w:rFonts w:ascii="Times New Roman" w:hAnsi="Times New Roman" w:cs="Times New Roman"/>
          <w:sz w:val="20"/>
          <w:szCs w:val="20"/>
          <w:lang w:val="en-US"/>
        </w:rPr>
        <w:t xml:space="preserve"> in our survey</w:t>
      </w:r>
      <w:r w:rsidR="00D5311F" w:rsidRPr="0035095E">
        <w:rPr>
          <w:rFonts w:ascii="Times New Roman" w:hAnsi="Times New Roman" w:cs="Times New Roman"/>
          <w:sz w:val="20"/>
          <w:szCs w:val="20"/>
          <w:lang w:val="en-US"/>
        </w:rPr>
        <w:t xml:space="preserve"> and the percentage of correct answers</w:t>
      </w:r>
      <w:r w:rsidR="00811CA3" w:rsidRPr="0035095E">
        <w:rPr>
          <w:rFonts w:ascii="Times New Roman" w:hAnsi="Times New Roman" w:cs="Times New Roman"/>
          <w:sz w:val="20"/>
          <w:szCs w:val="20"/>
          <w:lang w:val="en-US"/>
        </w:rPr>
        <w:t>.</w:t>
      </w:r>
      <w:r w:rsidR="0035095E">
        <w:rPr>
          <w:rFonts w:ascii="Times New Roman" w:hAnsi="Times New Roman" w:cs="Times New Roman"/>
          <w:sz w:val="20"/>
          <w:szCs w:val="20"/>
          <w:lang w:val="en-US"/>
        </w:rPr>
        <w:t xml:space="preserve">  </w:t>
      </w:r>
    </w:p>
    <w:p w14:paraId="0CDBF5B6" w14:textId="77777777" w:rsidR="0035095E" w:rsidRPr="0035095E" w:rsidRDefault="0035095E" w:rsidP="00C45D4F">
      <w:pPr>
        <w:rPr>
          <w:rFonts w:ascii="Times New Roman" w:hAnsi="Times New Roman" w:cs="Times New Roman"/>
          <w:sz w:val="20"/>
          <w:szCs w:val="20"/>
          <w:lang w:val="en-US"/>
        </w:rPr>
      </w:pPr>
    </w:p>
    <w:p w14:paraId="5936CCB0" w14:textId="485C744B" w:rsidR="006649AE" w:rsidRPr="0035095E" w:rsidRDefault="007D28C9" w:rsidP="00C45D4F">
      <w:pPr>
        <w:rPr>
          <w:rFonts w:ascii="Times New Roman" w:hAnsi="Times New Roman" w:cs="Times New Roman"/>
          <w:sz w:val="20"/>
          <w:szCs w:val="20"/>
          <w:lang w:val="en-US"/>
        </w:rPr>
      </w:pPr>
      <w:r w:rsidRPr="0035095E">
        <w:rPr>
          <w:rFonts w:ascii="Times New Roman" w:hAnsi="Times New Roman" w:cs="Times New Roman"/>
          <w:sz w:val="20"/>
          <w:szCs w:val="20"/>
          <w:lang w:val="en-US"/>
        </w:rPr>
        <w:t xml:space="preserve">Table 2 suggests that </w:t>
      </w:r>
      <w:r w:rsidR="004040A0" w:rsidRPr="0035095E">
        <w:rPr>
          <w:rFonts w:ascii="Times New Roman" w:hAnsi="Times New Roman" w:cs="Times New Roman"/>
          <w:sz w:val="20"/>
          <w:szCs w:val="20"/>
          <w:lang w:val="en-US"/>
        </w:rPr>
        <w:t xml:space="preserve">there are significant variations in the percentage of correct responses across different tax questions. For example, </w:t>
      </w:r>
      <w:proofErr w:type="gramStart"/>
      <w:r w:rsidRPr="0035095E">
        <w:rPr>
          <w:rFonts w:ascii="Times New Roman" w:hAnsi="Times New Roman" w:cs="Times New Roman"/>
          <w:sz w:val="20"/>
          <w:szCs w:val="20"/>
          <w:lang w:val="en-US"/>
        </w:rPr>
        <w:t>the majority of</w:t>
      </w:r>
      <w:proofErr w:type="gramEnd"/>
      <w:r w:rsidRPr="0035095E">
        <w:rPr>
          <w:rFonts w:ascii="Times New Roman" w:hAnsi="Times New Roman" w:cs="Times New Roman"/>
          <w:sz w:val="20"/>
          <w:szCs w:val="20"/>
          <w:lang w:val="en-US"/>
        </w:rPr>
        <w:t xml:space="preserve"> survey participants understand that wages are taxable</w:t>
      </w:r>
      <w:r w:rsidR="000B3FB8" w:rsidRPr="0035095E">
        <w:rPr>
          <w:rFonts w:ascii="Times New Roman" w:hAnsi="Times New Roman" w:cs="Times New Roman"/>
          <w:sz w:val="20"/>
          <w:szCs w:val="20"/>
          <w:lang w:val="en-US"/>
        </w:rPr>
        <w:t xml:space="preserve"> (TQ2)</w:t>
      </w:r>
      <w:r w:rsidRPr="0035095E">
        <w:rPr>
          <w:rFonts w:ascii="Times New Roman" w:hAnsi="Times New Roman" w:cs="Times New Roman"/>
          <w:sz w:val="20"/>
          <w:szCs w:val="20"/>
          <w:lang w:val="en-US"/>
        </w:rPr>
        <w:t xml:space="preserve">, </w:t>
      </w:r>
      <w:r w:rsidR="00C1313C" w:rsidRPr="0035095E">
        <w:rPr>
          <w:rFonts w:ascii="Times New Roman" w:hAnsi="Times New Roman" w:cs="Times New Roman"/>
          <w:sz w:val="20"/>
          <w:szCs w:val="20"/>
          <w:lang w:val="en-US"/>
        </w:rPr>
        <w:t xml:space="preserve">and they know </w:t>
      </w:r>
      <w:r w:rsidR="000B3FB8" w:rsidRPr="0035095E">
        <w:rPr>
          <w:rFonts w:ascii="Times New Roman" w:hAnsi="Times New Roman" w:cs="Times New Roman"/>
          <w:sz w:val="20"/>
          <w:szCs w:val="20"/>
          <w:lang w:val="en-US"/>
        </w:rPr>
        <w:t xml:space="preserve">how to find </w:t>
      </w:r>
      <w:r w:rsidR="001D7829" w:rsidRPr="0035095E">
        <w:rPr>
          <w:rFonts w:ascii="Times New Roman" w:hAnsi="Times New Roman" w:cs="Times New Roman"/>
          <w:sz w:val="20"/>
          <w:szCs w:val="20"/>
          <w:lang w:val="en-US"/>
        </w:rPr>
        <w:t xml:space="preserve">the </w:t>
      </w:r>
      <w:r w:rsidR="000B3FB8" w:rsidRPr="0035095E">
        <w:rPr>
          <w:rFonts w:ascii="Times New Roman" w:hAnsi="Times New Roman" w:cs="Times New Roman"/>
          <w:sz w:val="20"/>
          <w:szCs w:val="20"/>
          <w:lang w:val="en-US"/>
        </w:rPr>
        <w:t xml:space="preserve">standard deduction based on the filing status (TQ7), how to find the marginal tax rates based on </w:t>
      </w:r>
      <w:r w:rsidR="000B3FB8" w:rsidRPr="0035095E">
        <w:rPr>
          <w:rFonts w:ascii="Times New Roman" w:hAnsi="Times New Roman" w:cs="Times New Roman"/>
          <w:sz w:val="20"/>
          <w:szCs w:val="20"/>
          <w:lang w:val="en-US"/>
        </w:rPr>
        <w:lastRenderedPageBreak/>
        <w:t>taxable income (TQ9), and whether taxpayer</w:t>
      </w:r>
      <w:r w:rsidR="00B71D32" w:rsidRPr="0035095E">
        <w:rPr>
          <w:rFonts w:ascii="Times New Roman" w:hAnsi="Times New Roman" w:cs="Times New Roman"/>
          <w:sz w:val="20"/>
          <w:szCs w:val="20"/>
          <w:lang w:val="en-US"/>
        </w:rPr>
        <w:t>s</w:t>
      </w:r>
      <w:r w:rsidR="000B3FB8" w:rsidRPr="0035095E">
        <w:rPr>
          <w:rFonts w:ascii="Times New Roman" w:hAnsi="Times New Roman" w:cs="Times New Roman"/>
          <w:sz w:val="20"/>
          <w:szCs w:val="20"/>
          <w:lang w:val="en-US"/>
        </w:rPr>
        <w:t xml:space="preserve"> can receive </w:t>
      </w:r>
      <w:r w:rsidR="00B71D32" w:rsidRPr="0035095E">
        <w:rPr>
          <w:rFonts w:ascii="Times New Roman" w:hAnsi="Times New Roman" w:cs="Times New Roman"/>
          <w:sz w:val="20"/>
          <w:szCs w:val="20"/>
          <w:lang w:val="en-US"/>
        </w:rPr>
        <w:t xml:space="preserve">a </w:t>
      </w:r>
      <w:r w:rsidR="000B3FB8" w:rsidRPr="0035095E">
        <w:rPr>
          <w:rFonts w:ascii="Times New Roman" w:hAnsi="Times New Roman" w:cs="Times New Roman"/>
          <w:sz w:val="20"/>
          <w:szCs w:val="20"/>
          <w:lang w:val="en-US"/>
        </w:rPr>
        <w:t xml:space="preserve">tax refund </w:t>
      </w:r>
      <w:r w:rsidR="00F042F7" w:rsidRPr="0035095E">
        <w:rPr>
          <w:rFonts w:ascii="Times New Roman" w:hAnsi="Times New Roman" w:cs="Times New Roman"/>
          <w:sz w:val="20"/>
          <w:szCs w:val="20"/>
          <w:lang w:val="en-US"/>
        </w:rPr>
        <w:t xml:space="preserve">when </w:t>
      </w:r>
      <w:r w:rsidR="00B71D32" w:rsidRPr="0035095E">
        <w:rPr>
          <w:rFonts w:ascii="Times New Roman" w:hAnsi="Times New Roman" w:cs="Times New Roman"/>
          <w:sz w:val="20"/>
          <w:szCs w:val="20"/>
          <w:lang w:val="en-US"/>
        </w:rPr>
        <w:t xml:space="preserve">their </w:t>
      </w:r>
      <w:r w:rsidR="00F042F7" w:rsidRPr="0035095E">
        <w:rPr>
          <w:rFonts w:ascii="Times New Roman" w:hAnsi="Times New Roman" w:cs="Times New Roman"/>
          <w:sz w:val="20"/>
          <w:szCs w:val="20"/>
          <w:lang w:val="en-US"/>
        </w:rPr>
        <w:t xml:space="preserve">tax liability and tax </w:t>
      </w:r>
      <w:r w:rsidR="000B3FB8" w:rsidRPr="0035095E">
        <w:rPr>
          <w:rFonts w:ascii="Times New Roman" w:hAnsi="Times New Roman" w:cs="Times New Roman"/>
          <w:sz w:val="20"/>
          <w:szCs w:val="20"/>
          <w:lang w:val="en-US"/>
        </w:rPr>
        <w:t>withheld</w:t>
      </w:r>
      <w:r w:rsidR="00F042F7" w:rsidRPr="0035095E">
        <w:rPr>
          <w:rFonts w:ascii="Times New Roman" w:hAnsi="Times New Roman" w:cs="Times New Roman"/>
          <w:sz w:val="20"/>
          <w:szCs w:val="20"/>
          <w:lang w:val="en-US"/>
        </w:rPr>
        <w:t xml:space="preserve"> are known</w:t>
      </w:r>
      <w:r w:rsidR="000B3FB8" w:rsidRPr="0035095E">
        <w:rPr>
          <w:rFonts w:ascii="Times New Roman" w:hAnsi="Times New Roman" w:cs="Times New Roman"/>
          <w:sz w:val="20"/>
          <w:szCs w:val="20"/>
          <w:lang w:val="en-US"/>
        </w:rPr>
        <w:t xml:space="preserve"> (TQ10).</w:t>
      </w:r>
      <w:r w:rsidR="00C1313C" w:rsidRPr="0035095E">
        <w:rPr>
          <w:rFonts w:ascii="Times New Roman" w:hAnsi="Times New Roman" w:cs="Times New Roman"/>
          <w:sz w:val="20"/>
          <w:szCs w:val="20"/>
          <w:lang w:val="en-US"/>
        </w:rPr>
        <w:t xml:space="preserve"> In contrast</w:t>
      </w:r>
      <w:r w:rsidR="000B3FB8" w:rsidRPr="0035095E">
        <w:rPr>
          <w:rFonts w:ascii="Times New Roman" w:hAnsi="Times New Roman" w:cs="Times New Roman"/>
          <w:sz w:val="20"/>
          <w:szCs w:val="20"/>
          <w:lang w:val="en-US"/>
        </w:rPr>
        <w:t xml:space="preserve">, less than 30% of survey participants understand that </w:t>
      </w:r>
      <w:r w:rsidR="00C1313C" w:rsidRPr="0035095E">
        <w:rPr>
          <w:rFonts w:ascii="Times New Roman" w:hAnsi="Times New Roman" w:cs="Times New Roman"/>
          <w:sz w:val="20"/>
          <w:szCs w:val="20"/>
          <w:lang w:val="en-US"/>
        </w:rPr>
        <w:t xml:space="preserve">the </w:t>
      </w:r>
      <w:r w:rsidR="000B3FB8" w:rsidRPr="0035095E">
        <w:rPr>
          <w:rFonts w:ascii="Times New Roman" w:hAnsi="Times New Roman" w:cs="Times New Roman"/>
          <w:sz w:val="20"/>
          <w:szCs w:val="20"/>
          <w:lang w:val="en-US"/>
        </w:rPr>
        <w:t xml:space="preserve">sale of baseball card collections at a gain </w:t>
      </w:r>
      <w:r w:rsidR="001D7829" w:rsidRPr="0035095E">
        <w:rPr>
          <w:rFonts w:ascii="Times New Roman" w:hAnsi="Times New Roman" w:cs="Times New Roman"/>
          <w:sz w:val="20"/>
          <w:szCs w:val="20"/>
          <w:lang w:val="en-US"/>
        </w:rPr>
        <w:t xml:space="preserve">is </w:t>
      </w:r>
      <w:r w:rsidR="000B3FB8" w:rsidRPr="0035095E">
        <w:rPr>
          <w:rFonts w:ascii="Times New Roman" w:hAnsi="Times New Roman" w:cs="Times New Roman"/>
          <w:sz w:val="20"/>
          <w:szCs w:val="20"/>
          <w:lang w:val="en-US"/>
        </w:rPr>
        <w:t xml:space="preserve">taxable (TQ5), </w:t>
      </w:r>
      <w:r w:rsidR="00C1313C" w:rsidRPr="0035095E">
        <w:rPr>
          <w:rFonts w:ascii="Times New Roman" w:hAnsi="Times New Roman" w:cs="Times New Roman"/>
          <w:sz w:val="20"/>
          <w:szCs w:val="20"/>
          <w:lang w:val="en-US"/>
        </w:rPr>
        <w:t xml:space="preserve">that </w:t>
      </w:r>
      <w:r w:rsidR="000B3FB8" w:rsidRPr="0035095E">
        <w:rPr>
          <w:rFonts w:ascii="Times New Roman" w:hAnsi="Times New Roman" w:cs="Times New Roman"/>
          <w:sz w:val="20"/>
          <w:szCs w:val="20"/>
          <w:lang w:val="en-US"/>
        </w:rPr>
        <w:t xml:space="preserve">social security taxes withheld are not tax deductible (TQ6), </w:t>
      </w:r>
      <w:r w:rsidR="00C1313C" w:rsidRPr="0035095E">
        <w:rPr>
          <w:rFonts w:ascii="Times New Roman" w:hAnsi="Times New Roman" w:cs="Times New Roman"/>
          <w:sz w:val="20"/>
          <w:szCs w:val="20"/>
          <w:lang w:val="en-US"/>
        </w:rPr>
        <w:t xml:space="preserve">that </w:t>
      </w:r>
      <w:r w:rsidR="000B3FB8" w:rsidRPr="0035095E">
        <w:rPr>
          <w:rFonts w:ascii="Times New Roman" w:hAnsi="Times New Roman" w:cs="Times New Roman"/>
          <w:sz w:val="20"/>
          <w:szCs w:val="20"/>
          <w:lang w:val="en-US"/>
        </w:rPr>
        <w:t>progressive tax rate</w:t>
      </w:r>
      <w:r w:rsidR="00F042F7" w:rsidRPr="0035095E">
        <w:rPr>
          <w:rFonts w:ascii="Times New Roman" w:hAnsi="Times New Roman" w:cs="Times New Roman"/>
          <w:sz w:val="20"/>
          <w:szCs w:val="20"/>
          <w:lang w:val="en-US"/>
        </w:rPr>
        <w:t>s</w:t>
      </w:r>
      <w:r w:rsidR="000B3FB8" w:rsidRPr="0035095E">
        <w:rPr>
          <w:rFonts w:ascii="Times New Roman" w:hAnsi="Times New Roman" w:cs="Times New Roman"/>
          <w:sz w:val="20"/>
          <w:szCs w:val="20"/>
          <w:lang w:val="en-US"/>
        </w:rPr>
        <w:t xml:space="preserve"> </w:t>
      </w:r>
      <w:r w:rsidR="00F042F7" w:rsidRPr="0035095E">
        <w:rPr>
          <w:rFonts w:ascii="Times New Roman" w:hAnsi="Times New Roman" w:cs="Times New Roman"/>
          <w:sz w:val="20"/>
          <w:szCs w:val="20"/>
          <w:lang w:val="en-US"/>
        </w:rPr>
        <w:t>work differently from a flat tax rate</w:t>
      </w:r>
      <w:r w:rsidR="000B3FB8" w:rsidRPr="0035095E">
        <w:rPr>
          <w:rFonts w:ascii="Times New Roman" w:hAnsi="Times New Roman" w:cs="Times New Roman"/>
          <w:sz w:val="20"/>
          <w:szCs w:val="20"/>
          <w:lang w:val="en-US"/>
        </w:rPr>
        <w:t xml:space="preserve"> (TQ11), </w:t>
      </w:r>
      <w:r w:rsidR="003A2D16" w:rsidRPr="0035095E">
        <w:rPr>
          <w:rFonts w:ascii="Times New Roman" w:hAnsi="Times New Roman" w:cs="Times New Roman"/>
          <w:sz w:val="20"/>
          <w:szCs w:val="20"/>
          <w:lang w:val="en-US"/>
        </w:rPr>
        <w:t>and</w:t>
      </w:r>
      <w:r w:rsidR="000B3FB8" w:rsidRPr="0035095E">
        <w:rPr>
          <w:rFonts w:ascii="Times New Roman" w:hAnsi="Times New Roman" w:cs="Times New Roman"/>
          <w:sz w:val="20"/>
          <w:szCs w:val="20"/>
          <w:lang w:val="en-US"/>
        </w:rPr>
        <w:t xml:space="preserve"> </w:t>
      </w:r>
      <w:r w:rsidR="00C1313C" w:rsidRPr="0035095E">
        <w:rPr>
          <w:rFonts w:ascii="Times New Roman" w:hAnsi="Times New Roman" w:cs="Times New Roman"/>
          <w:sz w:val="20"/>
          <w:szCs w:val="20"/>
          <w:lang w:val="en-US"/>
        </w:rPr>
        <w:t xml:space="preserve">that </w:t>
      </w:r>
      <w:r w:rsidR="000B3FB8" w:rsidRPr="0035095E">
        <w:rPr>
          <w:rFonts w:ascii="Times New Roman" w:hAnsi="Times New Roman" w:cs="Times New Roman"/>
          <w:sz w:val="20"/>
          <w:szCs w:val="20"/>
          <w:lang w:val="en-US"/>
        </w:rPr>
        <w:t>the tax rate on qualified dividend income is lower than the marginal tax rate (TQ13).</w:t>
      </w:r>
      <w:r w:rsidR="0035095E">
        <w:rPr>
          <w:rFonts w:ascii="Times New Roman" w:hAnsi="Times New Roman" w:cs="Times New Roman"/>
          <w:sz w:val="20"/>
          <w:szCs w:val="20"/>
          <w:lang w:val="en-US"/>
        </w:rPr>
        <w:t xml:space="preserve">  </w:t>
      </w:r>
    </w:p>
    <w:p w14:paraId="3C2BF5E7" w14:textId="59394BC6" w:rsidR="000B3FB8" w:rsidRPr="0035095E" w:rsidRDefault="000B3FB8" w:rsidP="00C45D4F">
      <w:pPr>
        <w:rPr>
          <w:rFonts w:ascii="Times New Roman" w:hAnsi="Times New Roman" w:cs="Times New Roman"/>
          <w:sz w:val="20"/>
          <w:szCs w:val="20"/>
          <w:lang w:val="en-US"/>
        </w:rPr>
      </w:pPr>
    </w:p>
    <w:p w14:paraId="6EF1E837" w14:textId="5D9B1AF3" w:rsidR="001D3D4B" w:rsidRPr="0035095E" w:rsidRDefault="005A4CE2" w:rsidP="00C45D4F">
      <w:pPr>
        <w:rPr>
          <w:rFonts w:ascii="Times New Roman" w:hAnsi="Times New Roman" w:cs="Times New Roman"/>
          <w:b/>
          <w:bCs/>
          <w:sz w:val="20"/>
          <w:szCs w:val="20"/>
          <w:lang w:val="en-US"/>
        </w:rPr>
      </w:pPr>
      <w:r w:rsidRPr="0035095E">
        <w:rPr>
          <w:rFonts w:ascii="Times New Roman" w:hAnsi="Times New Roman" w:cs="Times New Roman"/>
          <w:b/>
          <w:bCs/>
          <w:sz w:val="20"/>
          <w:szCs w:val="20"/>
          <w:lang w:val="en-US"/>
        </w:rPr>
        <w:t>Descriptive Statistics</w:t>
      </w:r>
    </w:p>
    <w:p w14:paraId="1BDC7D40" w14:textId="77777777" w:rsidR="00053ACF" w:rsidRPr="0035095E" w:rsidRDefault="00053ACF" w:rsidP="00C45D4F">
      <w:pPr>
        <w:rPr>
          <w:rFonts w:ascii="Times New Roman" w:hAnsi="Times New Roman" w:cs="Times New Roman"/>
          <w:sz w:val="20"/>
          <w:szCs w:val="20"/>
          <w:lang w:val="en-US"/>
        </w:rPr>
      </w:pPr>
    </w:p>
    <w:p w14:paraId="102BFB1E" w14:textId="582A2CD4" w:rsidR="000F0762" w:rsidRDefault="00232F46" w:rsidP="00C45D4F">
      <w:pPr>
        <w:rPr>
          <w:rFonts w:ascii="Times New Roman" w:hAnsi="Times New Roman" w:cs="Times New Roman"/>
          <w:sz w:val="20"/>
          <w:szCs w:val="20"/>
          <w:lang w:val="en-US"/>
        </w:rPr>
      </w:pPr>
      <w:r w:rsidRPr="0035095E">
        <w:rPr>
          <w:rFonts w:ascii="Times New Roman" w:eastAsia="Times New Roman" w:hAnsi="Times New Roman" w:cs="Times New Roman"/>
          <w:bCs/>
          <w:sz w:val="20"/>
          <w:szCs w:val="20"/>
          <w:lang w:val="en-US"/>
        </w:rPr>
        <w:t>Following previous literature</w:t>
      </w:r>
      <w:r w:rsidR="00EB151D" w:rsidRPr="0035095E">
        <w:rPr>
          <w:rFonts w:ascii="Times New Roman" w:eastAsia="Times New Roman" w:hAnsi="Times New Roman" w:cs="Times New Roman"/>
          <w:bCs/>
          <w:sz w:val="20"/>
          <w:szCs w:val="20"/>
          <w:lang w:val="en-US"/>
        </w:rPr>
        <w:t xml:space="preserve"> </w:t>
      </w:r>
      <w:r w:rsidR="00DC6240" w:rsidRPr="0035095E">
        <w:rPr>
          <w:rFonts w:ascii="Times New Roman" w:eastAsia="Times New Roman" w:hAnsi="Times New Roman" w:cs="Times New Roman"/>
          <w:bCs/>
          <w:sz w:val="20"/>
          <w:szCs w:val="20"/>
          <w:lang w:val="en-US"/>
        </w:rPr>
        <w:t>on financial literacy and tax literacy</w:t>
      </w:r>
      <w:r w:rsidRPr="0035095E">
        <w:rPr>
          <w:rFonts w:ascii="Times New Roman" w:eastAsia="Times New Roman" w:hAnsi="Times New Roman" w:cs="Times New Roman"/>
          <w:bCs/>
          <w:sz w:val="20"/>
          <w:szCs w:val="20"/>
          <w:lang w:val="en-US"/>
        </w:rPr>
        <w:t>, we include the following socio-economic factors</w:t>
      </w:r>
      <w:r w:rsidR="008F428C" w:rsidRPr="0035095E">
        <w:rPr>
          <w:rFonts w:ascii="Times New Roman" w:eastAsia="Times New Roman" w:hAnsi="Times New Roman" w:cs="Times New Roman"/>
          <w:bCs/>
          <w:sz w:val="20"/>
          <w:szCs w:val="20"/>
          <w:lang w:val="en-US"/>
        </w:rPr>
        <w:t xml:space="preserve"> in the survey’s demographics questions</w:t>
      </w:r>
      <w:r w:rsidR="00573580" w:rsidRPr="0035095E">
        <w:rPr>
          <w:rFonts w:ascii="Times New Roman" w:eastAsia="Times New Roman" w:hAnsi="Times New Roman" w:cs="Times New Roman"/>
          <w:bCs/>
          <w:sz w:val="20"/>
          <w:szCs w:val="20"/>
          <w:lang w:val="en-US"/>
        </w:rPr>
        <w:t>:</w:t>
      </w:r>
      <w:r w:rsidRPr="0035095E">
        <w:rPr>
          <w:rFonts w:ascii="Times New Roman" w:eastAsia="Times New Roman" w:hAnsi="Times New Roman" w:cs="Times New Roman"/>
          <w:bCs/>
          <w:sz w:val="20"/>
          <w:szCs w:val="20"/>
          <w:lang w:val="en-US"/>
        </w:rPr>
        <w:t xml:space="preserve"> gender, age, financial experience, household income, work experience, and tax experience.</w:t>
      </w:r>
      <w:r w:rsidRPr="0035095E">
        <w:rPr>
          <w:rFonts w:ascii="Times New Roman" w:hAnsi="Times New Roman" w:cs="Times New Roman"/>
          <w:sz w:val="20"/>
          <w:szCs w:val="20"/>
          <w:lang w:val="en-US"/>
        </w:rPr>
        <w:t xml:space="preserve"> </w:t>
      </w:r>
      <w:r w:rsidR="00DC6240" w:rsidRPr="0035095E">
        <w:rPr>
          <w:rFonts w:ascii="Times New Roman" w:hAnsi="Times New Roman" w:cs="Times New Roman"/>
          <w:sz w:val="20"/>
          <w:szCs w:val="20"/>
          <w:lang w:val="en-US"/>
        </w:rPr>
        <w:t>These demographic and background variables are commonly seen in financial literacy studies and are used in the few tax literacy studies (</w:t>
      </w:r>
      <w:r w:rsidR="00F374A3" w:rsidRPr="0035095E">
        <w:rPr>
          <w:rStyle w:val="standard-view-style"/>
          <w:rFonts w:ascii="Times New Roman" w:hAnsi="Times New Roman" w:cs="Times New Roman"/>
          <w:sz w:val="20"/>
          <w:szCs w:val="20"/>
          <w:lang w:val="en-US"/>
        </w:rPr>
        <w:t xml:space="preserve">Chardon, Freudenberg and Brimble, </w:t>
      </w:r>
      <w:r w:rsidR="00F374A3" w:rsidRPr="0035095E">
        <w:rPr>
          <w:rFonts w:ascii="Times New Roman" w:hAnsi="Times New Roman" w:cs="Times New Roman"/>
          <w:sz w:val="20"/>
          <w:szCs w:val="20"/>
          <w:lang w:val="en-US"/>
        </w:rPr>
        <w:t>2016;</w:t>
      </w:r>
      <w:r w:rsidR="00DC6240" w:rsidRPr="0035095E">
        <w:rPr>
          <w:rFonts w:ascii="Times New Roman" w:hAnsi="Times New Roman" w:cs="Times New Roman"/>
          <w:sz w:val="20"/>
          <w:szCs w:val="20"/>
          <w:lang w:val="en-US"/>
        </w:rPr>
        <w:t xml:space="preserve"> Lyon and Caitlin 2020). </w:t>
      </w:r>
      <w:r w:rsidR="001D3D4B" w:rsidRPr="0035095E">
        <w:rPr>
          <w:rFonts w:ascii="Times New Roman" w:hAnsi="Times New Roman" w:cs="Times New Roman"/>
          <w:sz w:val="20"/>
          <w:szCs w:val="20"/>
          <w:lang w:val="en-US"/>
        </w:rPr>
        <w:t xml:space="preserve">Chart 1 presents the participants’ demographics. </w:t>
      </w:r>
      <w:r w:rsidR="004321A2" w:rsidRPr="0035095E">
        <w:rPr>
          <w:rFonts w:ascii="Times New Roman" w:hAnsi="Times New Roman" w:cs="Times New Roman"/>
          <w:sz w:val="20"/>
          <w:szCs w:val="20"/>
          <w:lang w:val="en-US"/>
        </w:rPr>
        <w:t xml:space="preserve">Chart 2 </w:t>
      </w:r>
      <w:r w:rsidR="00C04FDB" w:rsidRPr="0035095E">
        <w:rPr>
          <w:rFonts w:ascii="Times New Roman" w:hAnsi="Times New Roman" w:cs="Times New Roman"/>
          <w:sz w:val="20"/>
          <w:szCs w:val="20"/>
          <w:lang w:val="en-US"/>
        </w:rPr>
        <w:t xml:space="preserve">illustrates </w:t>
      </w:r>
      <w:r w:rsidR="00F042F7" w:rsidRPr="0035095E">
        <w:rPr>
          <w:rFonts w:ascii="Times New Roman" w:hAnsi="Times New Roman" w:cs="Times New Roman"/>
          <w:sz w:val="20"/>
          <w:szCs w:val="20"/>
          <w:lang w:val="en-US"/>
        </w:rPr>
        <w:t xml:space="preserve">participants’ </w:t>
      </w:r>
      <w:r w:rsidR="00AD1D72" w:rsidRPr="0035095E">
        <w:rPr>
          <w:rFonts w:ascii="Times New Roman" w:hAnsi="Times New Roman" w:cs="Times New Roman"/>
          <w:sz w:val="20"/>
          <w:szCs w:val="20"/>
          <w:lang w:val="en-US"/>
        </w:rPr>
        <w:t xml:space="preserve">type of tax filing and their </w:t>
      </w:r>
      <w:r w:rsidR="006C34B4" w:rsidRPr="0035095E">
        <w:rPr>
          <w:rFonts w:ascii="Times New Roman" w:hAnsi="Times New Roman" w:cs="Times New Roman"/>
          <w:sz w:val="20"/>
          <w:szCs w:val="20"/>
          <w:lang w:val="en-US"/>
        </w:rPr>
        <w:t>experience with</w:t>
      </w:r>
      <w:r w:rsidR="004321A2" w:rsidRPr="0035095E">
        <w:rPr>
          <w:rFonts w:ascii="Times New Roman" w:hAnsi="Times New Roman" w:cs="Times New Roman"/>
          <w:sz w:val="20"/>
          <w:szCs w:val="20"/>
          <w:lang w:val="en-US"/>
        </w:rPr>
        <w:t xml:space="preserve"> accounting </w:t>
      </w:r>
      <w:r w:rsidR="00EF765B" w:rsidRPr="0035095E">
        <w:rPr>
          <w:rFonts w:ascii="Times New Roman" w:hAnsi="Times New Roman" w:cs="Times New Roman"/>
          <w:sz w:val="20"/>
          <w:szCs w:val="20"/>
          <w:lang w:val="en-US"/>
        </w:rPr>
        <w:t>and</w:t>
      </w:r>
      <w:r w:rsidR="004321A2" w:rsidRPr="0035095E">
        <w:rPr>
          <w:rFonts w:ascii="Times New Roman" w:hAnsi="Times New Roman" w:cs="Times New Roman"/>
          <w:sz w:val="20"/>
          <w:szCs w:val="20"/>
          <w:lang w:val="en-US"/>
        </w:rPr>
        <w:t xml:space="preserve"> tax </w:t>
      </w:r>
      <w:r w:rsidR="008278AF" w:rsidRPr="0035095E">
        <w:rPr>
          <w:rFonts w:ascii="Times New Roman" w:hAnsi="Times New Roman" w:cs="Times New Roman"/>
          <w:sz w:val="20"/>
          <w:szCs w:val="20"/>
          <w:lang w:val="en-US"/>
        </w:rPr>
        <w:t>course</w:t>
      </w:r>
      <w:r w:rsidR="00F042F7" w:rsidRPr="0035095E">
        <w:rPr>
          <w:rFonts w:ascii="Times New Roman" w:hAnsi="Times New Roman" w:cs="Times New Roman"/>
          <w:sz w:val="20"/>
          <w:szCs w:val="20"/>
          <w:lang w:val="en-US"/>
        </w:rPr>
        <w:t>s</w:t>
      </w:r>
      <w:r w:rsidR="00E32DCF" w:rsidRPr="0035095E">
        <w:rPr>
          <w:rFonts w:ascii="Times New Roman" w:hAnsi="Times New Roman" w:cs="Times New Roman"/>
          <w:sz w:val="20"/>
          <w:szCs w:val="20"/>
          <w:lang w:val="en-US"/>
        </w:rPr>
        <w:t>.</w:t>
      </w:r>
      <w:r w:rsidR="008F428C" w:rsidRPr="0035095E">
        <w:rPr>
          <w:rFonts w:ascii="Times New Roman" w:hAnsi="Times New Roman" w:cs="Times New Roman"/>
          <w:sz w:val="20"/>
          <w:szCs w:val="20"/>
          <w:lang w:val="en-US"/>
        </w:rPr>
        <w:t xml:space="preserve"> </w:t>
      </w:r>
      <w:proofErr w:type="gramStart"/>
      <w:r w:rsidR="00E32DCF" w:rsidRPr="0035095E">
        <w:rPr>
          <w:rFonts w:ascii="Times New Roman" w:hAnsi="Times New Roman" w:cs="Times New Roman"/>
          <w:sz w:val="20"/>
          <w:szCs w:val="20"/>
          <w:lang w:val="en-US"/>
        </w:rPr>
        <w:t>The</w:t>
      </w:r>
      <w:r w:rsidR="00EA3DEE" w:rsidRPr="0035095E">
        <w:rPr>
          <w:rFonts w:ascii="Times New Roman" w:hAnsi="Times New Roman" w:cs="Times New Roman"/>
          <w:sz w:val="20"/>
          <w:szCs w:val="20"/>
          <w:lang w:val="en-US"/>
        </w:rPr>
        <w:t xml:space="preserve"> vast majority of</w:t>
      </w:r>
      <w:proofErr w:type="gramEnd"/>
      <w:r w:rsidR="00EA3DEE" w:rsidRPr="0035095E">
        <w:rPr>
          <w:rFonts w:ascii="Times New Roman" w:hAnsi="Times New Roman" w:cs="Times New Roman"/>
          <w:sz w:val="20"/>
          <w:szCs w:val="20"/>
          <w:lang w:val="en-US"/>
        </w:rPr>
        <w:t xml:space="preserve"> the participants </w:t>
      </w:r>
      <w:r w:rsidR="00C04FDB" w:rsidRPr="0035095E">
        <w:rPr>
          <w:rFonts w:ascii="Times New Roman" w:hAnsi="Times New Roman" w:cs="Times New Roman"/>
          <w:sz w:val="20"/>
          <w:szCs w:val="20"/>
          <w:lang w:val="en-US"/>
        </w:rPr>
        <w:t>(</w:t>
      </w:r>
      <w:r w:rsidR="00772DFF" w:rsidRPr="0035095E">
        <w:rPr>
          <w:rFonts w:ascii="Times New Roman" w:hAnsi="Times New Roman" w:cs="Times New Roman"/>
          <w:sz w:val="20"/>
          <w:szCs w:val="20"/>
          <w:lang w:val="en-US"/>
        </w:rPr>
        <w:t>75</w:t>
      </w:r>
      <w:r w:rsidR="00EF765B" w:rsidRPr="0035095E">
        <w:rPr>
          <w:rFonts w:ascii="Times New Roman" w:hAnsi="Times New Roman" w:cs="Times New Roman"/>
          <w:sz w:val="20"/>
          <w:szCs w:val="20"/>
          <w:lang w:val="en-US"/>
        </w:rPr>
        <w:t>%</w:t>
      </w:r>
      <w:r w:rsidR="00C04FDB" w:rsidRPr="0035095E">
        <w:rPr>
          <w:rFonts w:ascii="Times New Roman" w:hAnsi="Times New Roman" w:cs="Times New Roman"/>
          <w:sz w:val="20"/>
          <w:szCs w:val="20"/>
          <w:lang w:val="en-US"/>
        </w:rPr>
        <w:t>)</w:t>
      </w:r>
      <w:r w:rsidR="00EF765B" w:rsidRPr="0035095E">
        <w:rPr>
          <w:rFonts w:ascii="Times New Roman" w:hAnsi="Times New Roman" w:cs="Times New Roman"/>
          <w:sz w:val="20"/>
          <w:szCs w:val="20"/>
          <w:lang w:val="en-US"/>
        </w:rPr>
        <w:t xml:space="preserve"> </w:t>
      </w:r>
      <w:r w:rsidR="008278AF" w:rsidRPr="0035095E">
        <w:rPr>
          <w:rFonts w:ascii="Times New Roman" w:hAnsi="Times New Roman" w:cs="Times New Roman"/>
          <w:sz w:val="20"/>
          <w:szCs w:val="20"/>
          <w:lang w:val="en-US"/>
        </w:rPr>
        <w:t>have not</w:t>
      </w:r>
      <w:r w:rsidR="00EA3DEE" w:rsidRPr="0035095E">
        <w:rPr>
          <w:rFonts w:ascii="Times New Roman" w:hAnsi="Times New Roman" w:cs="Times New Roman"/>
          <w:sz w:val="20"/>
          <w:szCs w:val="20"/>
          <w:lang w:val="en-US"/>
        </w:rPr>
        <w:t xml:space="preserve"> take</w:t>
      </w:r>
      <w:r w:rsidR="008278AF" w:rsidRPr="0035095E">
        <w:rPr>
          <w:rFonts w:ascii="Times New Roman" w:hAnsi="Times New Roman" w:cs="Times New Roman"/>
          <w:sz w:val="20"/>
          <w:szCs w:val="20"/>
          <w:lang w:val="en-US"/>
        </w:rPr>
        <w:t>n</w:t>
      </w:r>
      <w:r w:rsidR="00EA3DEE" w:rsidRPr="0035095E">
        <w:rPr>
          <w:rFonts w:ascii="Times New Roman" w:hAnsi="Times New Roman" w:cs="Times New Roman"/>
          <w:sz w:val="20"/>
          <w:szCs w:val="20"/>
          <w:lang w:val="en-US"/>
        </w:rPr>
        <w:t xml:space="preserve"> any tax course</w:t>
      </w:r>
      <w:r w:rsidR="00EF765B" w:rsidRPr="0035095E">
        <w:rPr>
          <w:rFonts w:ascii="Times New Roman" w:hAnsi="Times New Roman" w:cs="Times New Roman"/>
          <w:sz w:val="20"/>
          <w:szCs w:val="20"/>
          <w:lang w:val="en-US"/>
        </w:rPr>
        <w:t>s</w:t>
      </w:r>
      <w:r w:rsidR="00ED78DB" w:rsidRPr="0035095E">
        <w:rPr>
          <w:rFonts w:ascii="Times New Roman" w:hAnsi="Times New Roman" w:cs="Times New Roman"/>
          <w:sz w:val="20"/>
          <w:szCs w:val="20"/>
          <w:lang w:val="en-US"/>
        </w:rPr>
        <w:t>, while</w:t>
      </w:r>
      <w:r w:rsidR="00AD1D72" w:rsidRPr="0035095E">
        <w:rPr>
          <w:rFonts w:ascii="Times New Roman" w:hAnsi="Times New Roman" w:cs="Times New Roman"/>
          <w:sz w:val="20"/>
          <w:szCs w:val="20"/>
          <w:lang w:val="en-US"/>
        </w:rPr>
        <w:t xml:space="preserve"> </w:t>
      </w:r>
      <w:r w:rsidR="00ED78DB" w:rsidRPr="0035095E">
        <w:rPr>
          <w:rFonts w:ascii="Times New Roman" w:hAnsi="Times New Roman" w:cs="Times New Roman"/>
          <w:sz w:val="20"/>
          <w:szCs w:val="20"/>
          <w:lang w:val="en-US"/>
        </w:rPr>
        <w:t>a</w:t>
      </w:r>
      <w:r w:rsidR="00AD1D72" w:rsidRPr="0035095E">
        <w:rPr>
          <w:rFonts w:ascii="Times New Roman" w:hAnsi="Times New Roman" w:cs="Times New Roman"/>
          <w:sz w:val="20"/>
          <w:szCs w:val="20"/>
          <w:lang w:val="en-US"/>
        </w:rPr>
        <w:t xml:space="preserve"> few participants (</w:t>
      </w:r>
      <w:r w:rsidR="00772DFF" w:rsidRPr="0035095E">
        <w:rPr>
          <w:rFonts w:ascii="Times New Roman" w:hAnsi="Times New Roman" w:cs="Times New Roman"/>
          <w:sz w:val="20"/>
          <w:szCs w:val="20"/>
          <w:lang w:val="en-US"/>
        </w:rPr>
        <w:t>6</w:t>
      </w:r>
      <w:r w:rsidR="00AD1D72" w:rsidRPr="0035095E">
        <w:rPr>
          <w:rFonts w:ascii="Times New Roman" w:hAnsi="Times New Roman" w:cs="Times New Roman"/>
          <w:sz w:val="20"/>
          <w:szCs w:val="20"/>
          <w:lang w:val="en-US"/>
        </w:rPr>
        <w:t xml:space="preserve">%) </w:t>
      </w:r>
      <w:r w:rsidR="00ED78DB" w:rsidRPr="0035095E">
        <w:rPr>
          <w:rFonts w:ascii="Times New Roman" w:hAnsi="Times New Roman" w:cs="Times New Roman"/>
          <w:sz w:val="20"/>
          <w:szCs w:val="20"/>
          <w:lang w:val="en-US"/>
        </w:rPr>
        <w:t xml:space="preserve">have </w:t>
      </w:r>
      <w:r w:rsidR="00AD1D72" w:rsidRPr="0035095E">
        <w:rPr>
          <w:rFonts w:ascii="Times New Roman" w:hAnsi="Times New Roman" w:cs="Times New Roman"/>
          <w:sz w:val="20"/>
          <w:szCs w:val="20"/>
          <w:lang w:val="en-US"/>
        </w:rPr>
        <w:t>take</w:t>
      </w:r>
      <w:r w:rsidR="00ED78DB" w:rsidRPr="0035095E">
        <w:rPr>
          <w:rFonts w:ascii="Times New Roman" w:hAnsi="Times New Roman" w:cs="Times New Roman"/>
          <w:sz w:val="20"/>
          <w:szCs w:val="20"/>
          <w:lang w:val="en-US"/>
        </w:rPr>
        <w:t>n</w:t>
      </w:r>
      <w:r w:rsidR="00AD1D72" w:rsidRPr="0035095E">
        <w:rPr>
          <w:rFonts w:ascii="Times New Roman" w:hAnsi="Times New Roman" w:cs="Times New Roman"/>
          <w:sz w:val="20"/>
          <w:szCs w:val="20"/>
          <w:lang w:val="en-US"/>
        </w:rPr>
        <w:t xml:space="preserve"> more than one tax </w:t>
      </w:r>
      <w:proofErr w:type="gramStart"/>
      <w:r w:rsidR="00AD1D72" w:rsidRPr="0035095E">
        <w:rPr>
          <w:rFonts w:ascii="Times New Roman" w:hAnsi="Times New Roman" w:cs="Times New Roman"/>
          <w:sz w:val="20"/>
          <w:szCs w:val="20"/>
          <w:lang w:val="en-US"/>
        </w:rPr>
        <w:t>courses</w:t>
      </w:r>
      <w:proofErr w:type="gramEnd"/>
      <w:r w:rsidR="00AD1D72" w:rsidRPr="0035095E">
        <w:rPr>
          <w:rFonts w:ascii="Times New Roman" w:hAnsi="Times New Roman" w:cs="Times New Roman"/>
          <w:sz w:val="20"/>
          <w:szCs w:val="20"/>
          <w:lang w:val="en-US"/>
        </w:rPr>
        <w:t>.</w:t>
      </w:r>
      <w:r w:rsidR="00CB7FF6">
        <w:rPr>
          <w:rFonts w:ascii="Times New Roman" w:hAnsi="Times New Roman" w:cs="Times New Roman"/>
          <w:sz w:val="20"/>
          <w:szCs w:val="20"/>
          <w:lang w:val="en-US"/>
        </w:rPr>
        <w:t xml:space="preserve">  </w:t>
      </w:r>
    </w:p>
    <w:p w14:paraId="2555970C" w14:textId="77777777" w:rsidR="00CB7FF6" w:rsidRPr="0035095E" w:rsidRDefault="00CB7FF6" w:rsidP="00C45D4F">
      <w:pPr>
        <w:rPr>
          <w:rFonts w:ascii="Times New Roman" w:hAnsi="Times New Roman" w:cs="Times New Roman"/>
          <w:b/>
          <w:sz w:val="20"/>
          <w:szCs w:val="20"/>
          <w:lang w:val="en-US"/>
        </w:rPr>
      </w:pPr>
    </w:p>
    <w:p w14:paraId="7A4B5536" w14:textId="2511BD9D" w:rsidR="00053ACF" w:rsidRDefault="00232F46" w:rsidP="00C45D4F">
      <w:pPr>
        <w:rPr>
          <w:rFonts w:ascii="Times New Roman" w:hAnsi="Times New Roman" w:cs="Times New Roman"/>
          <w:sz w:val="20"/>
          <w:szCs w:val="20"/>
          <w:lang w:val="en-US"/>
        </w:rPr>
      </w:pPr>
      <w:proofErr w:type="gramStart"/>
      <w:r w:rsidRPr="0035095E">
        <w:rPr>
          <w:rFonts w:ascii="Times New Roman" w:hAnsi="Times New Roman" w:cs="Times New Roman"/>
          <w:iCs/>
          <w:sz w:val="20"/>
          <w:szCs w:val="20"/>
          <w:lang w:val="en-US"/>
        </w:rPr>
        <w:t>For the purpose of</w:t>
      </w:r>
      <w:proofErr w:type="gramEnd"/>
      <w:r w:rsidRPr="0035095E">
        <w:rPr>
          <w:rFonts w:ascii="Times New Roman" w:hAnsi="Times New Roman" w:cs="Times New Roman"/>
          <w:iCs/>
          <w:sz w:val="20"/>
          <w:szCs w:val="20"/>
          <w:lang w:val="en-US"/>
        </w:rPr>
        <w:t xml:space="preserve"> statist</w:t>
      </w:r>
      <w:r w:rsidR="009E70F1" w:rsidRPr="0035095E">
        <w:rPr>
          <w:rFonts w:ascii="Times New Roman" w:hAnsi="Times New Roman" w:cs="Times New Roman"/>
          <w:iCs/>
          <w:sz w:val="20"/>
          <w:szCs w:val="20"/>
          <w:lang w:val="en-US"/>
        </w:rPr>
        <w:t>ical</w:t>
      </w:r>
      <w:r w:rsidRPr="0035095E">
        <w:rPr>
          <w:rFonts w:ascii="Times New Roman" w:hAnsi="Times New Roman" w:cs="Times New Roman"/>
          <w:iCs/>
          <w:sz w:val="20"/>
          <w:szCs w:val="20"/>
          <w:lang w:val="en-US"/>
        </w:rPr>
        <w:t xml:space="preserve"> analysis, we transform the demographics into numeric values. </w:t>
      </w:r>
      <w:r w:rsidRPr="0035095E">
        <w:rPr>
          <w:rFonts w:ascii="Times New Roman" w:hAnsi="Times New Roman" w:cs="Times New Roman"/>
          <w:i/>
          <w:iCs/>
          <w:sz w:val="20"/>
          <w:szCs w:val="20"/>
          <w:lang w:val="en-US"/>
        </w:rPr>
        <w:t>Gender</w:t>
      </w:r>
      <w:r w:rsidRPr="0035095E">
        <w:rPr>
          <w:rFonts w:ascii="Times New Roman" w:hAnsi="Times New Roman" w:cs="Times New Roman"/>
          <w:sz w:val="20"/>
          <w:szCs w:val="20"/>
          <w:lang w:val="en-US"/>
        </w:rPr>
        <w:t xml:space="preserve"> </w:t>
      </w:r>
      <w:r w:rsidR="001E479A" w:rsidRPr="0035095E">
        <w:rPr>
          <w:rFonts w:ascii="Times New Roman" w:hAnsi="Times New Roman" w:cs="Times New Roman"/>
          <w:sz w:val="20"/>
          <w:szCs w:val="20"/>
          <w:lang w:val="en-US"/>
        </w:rPr>
        <w:t>i</w:t>
      </w:r>
      <w:r w:rsidRPr="0035095E">
        <w:rPr>
          <w:rFonts w:ascii="Times New Roman" w:hAnsi="Times New Roman" w:cs="Times New Roman"/>
          <w:sz w:val="20"/>
          <w:szCs w:val="20"/>
          <w:lang w:val="en-US"/>
        </w:rPr>
        <w:t xml:space="preserve">s coded as 1 for male participants and 0 for females. </w:t>
      </w:r>
      <w:r w:rsidRPr="0035095E">
        <w:rPr>
          <w:rFonts w:ascii="Times New Roman" w:hAnsi="Times New Roman" w:cs="Times New Roman"/>
          <w:i/>
          <w:iCs/>
          <w:sz w:val="20"/>
          <w:szCs w:val="20"/>
          <w:lang w:val="en-US"/>
        </w:rPr>
        <w:t>Age</w:t>
      </w:r>
      <w:r w:rsidRPr="0035095E">
        <w:rPr>
          <w:rFonts w:ascii="Times New Roman" w:hAnsi="Times New Roman" w:cs="Times New Roman"/>
          <w:sz w:val="20"/>
          <w:szCs w:val="20"/>
          <w:lang w:val="en-US"/>
        </w:rPr>
        <w:t xml:space="preserve"> </w:t>
      </w:r>
      <w:r w:rsidR="001E479A" w:rsidRPr="0035095E">
        <w:rPr>
          <w:rFonts w:ascii="Times New Roman" w:hAnsi="Times New Roman" w:cs="Times New Roman"/>
          <w:sz w:val="20"/>
          <w:szCs w:val="20"/>
          <w:lang w:val="en-US"/>
        </w:rPr>
        <w:t>i</w:t>
      </w:r>
      <w:r w:rsidRPr="0035095E">
        <w:rPr>
          <w:rFonts w:ascii="Times New Roman" w:hAnsi="Times New Roman" w:cs="Times New Roman"/>
          <w:sz w:val="20"/>
          <w:szCs w:val="20"/>
          <w:lang w:val="en-US"/>
        </w:rPr>
        <w:t>s coded as 0 if participant</w:t>
      </w:r>
      <w:r w:rsidR="00ED78DB" w:rsidRPr="0035095E">
        <w:rPr>
          <w:rFonts w:ascii="Times New Roman" w:hAnsi="Times New Roman" w:cs="Times New Roman"/>
          <w:sz w:val="20"/>
          <w:szCs w:val="20"/>
          <w:lang w:val="en-US"/>
        </w:rPr>
        <w:t>s</w:t>
      </w:r>
      <w:r w:rsidRPr="0035095E">
        <w:rPr>
          <w:rFonts w:ascii="Times New Roman" w:hAnsi="Times New Roman" w:cs="Times New Roman"/>
          <w:sz w:val="20"/>
          <w:szCs w:val="20"/>
          <w:lang w:val="en-US"/>
        </w:rPr>
        <w:t xml:space="preserve"> </w:t>
      </w:r>
      <w:r w:rsidR="00ED78DB" w:rsidRPr="0035095E">
        <w:rPr>
          <w:rFonts w:ascii="Times New Roman" w:hAnsi="Times New Roman" w:cs="Times New Roman"/>
          <w:sz w:val="20"/>
          <w:szCs w:val="20"/>
          <w:lang w:val="en-US"/>
        </w:rPr>
        <w:t xml:space="preserve">are </w:t>
      </w:r>
      <w:r w:rsidRPr="0035095E">
        <w:rPr>
          <w:rFonts w:ascii="Times New Roman" w:hAnsi="Times New Roman" w:cs="Times New Roman"/>
          <w:sz w:val="20"/>
          <w:szCs w:val="20"/>
          <w:lang w:val="en-US"/>
        </w:rPr>
        <w:t xml:space="preserve">under 18 years old, 1 if </w:t>
      </w:r>
      <w:r w:rsidR="00ED78DB" w:rsidRPr="0035095E">
        <w:rPr>
          <w:rFonts w:ascii="Times New Roman" w:hAnsi="Times New Roman" w:cs="Times New Roman"/>
          <w:sz w:val="20"/>
          <w:szCs w:val="20"/>
          <w:lang w:val="en-US"/>
        </w:rPr>
        <w:t xml:space="preserve">they are </w:t>
      </w:r>
      <w:r w:rsidRPr="0035095E">
        <w:rPr>
          <w:rFonts w:ascii="Times New Roman" w:hAnsi="Times New Roman" w:cs="Times New Roman"/>
          <w:sz w:val="20"/>
          <w:szCs w:val="20"/>
          <w:lang w:val="en-US"/>
        </w:rPr>
        <w:t xml:space="preserve">between 18 and 20 years old, 2 if </w:t>
      </w:r>
      <w:r w:rsidR="00ED78DB" w:rsidRPr="0035095E">
        <w:rPr>
          <w:rFonts w:ascii="Times New Roman" w:hAnsi="Times New Roman" w:cs="Times New Roman"/>
          <w:sz w:val="20"/>
          <w:szCs w:val="20"/>
          <w:lang w:val="en-US"/>
        </w:rPr>
        <w:t xml:space="preserve">they are </w:t>
      </w:r>
      <w:r w:rsidRPr="0035095E">
        <w:rPr>
          <w:rFonts w:ascii="Times New Roman" w:hAnsi="Times New Roman" w:cs="Times New Roman"/>
          <w:sz w:val="20"/>
          <w:szCs w:val="20"/>
          <w:lang w:val="en-US"/>
        </w:rPr>
        <w:t xml:space="preserve">21 to 23 years old, and 3 if </w:t>
      </w:r>
      <w:r w:rsidR="00ED78DB" w:rsidRPr="0035095E">
        <w:rPr>
          <w:rFonts w:ascii="Times New Roman" w:hAnsi="Times New Roman" w:cs="Times New Roman"/>
          <w:sz w:val="20"/>
          <w:szCs w:val="20"/>
          <w:lang w:val="en-US"/>
        </w:rPr>
        <w:t xml:space="preserve">they are </w:t>
      </w:r>
      <w:r w:rsidRPr="0035095E">
        <w:rPr>
          <w:rFonts w:ascii="Times New Roman" w:hAnsi="Times New Roman" w:cs="Times New Roman"/>
          <w:sz w:val="20"/>
          <w:szCs w:val="20"/>
          <w:lang w:val="en-US"/>
        </w:rPr>
        <w:t xml:space="preserve">above 23 years old. </w:t>
      </w:r>
      <w:proofErr w:type="spellStart"/>
      <w:r w:rsidR="00F374A3" w:rsidRPr="0035095E">
        <w:rPr>
          <w:rFonts w:ascii="Times New Roman" w:hAnsi="Times New Roman" w:cs="Times New Roman"/>
          <w:i/>
          <w:sz w:val="20"/>
          <w:szCs w:val="20"/>
          <w:lang w:val="en-US"/>
        </w:rPr>
        <w:t>FinExp</w:t>
      </w:r>
      <w:proofErr w:type="spellEnd"/>
      <w:r w:rsidR="00F374A3" w:rsidRPr="0035095E">
        <w:rPr>
          <w:rFonts w:ascii="Times New Roman" w:hAnsi="Times New Roman" w:cs="Times New Roman"/>
          <w:sz w:val="20"/>
          <w:szCs w:val="20"/>
          <w:lang w:val="en-US"/>
        </w:rPr>
        <w:t xml:space="preserve"> is coded as 1 if the participant has a credit card, a bank account, or a student loan or financial aid</w:t>
      </w:r>
      <w:r w:rsidR="004C7F2E" w:rsidRPr="0035095E">
        <w:rPr>
          <w:rFonts w:ascii="Times New Roman" w:hAnsi="Times New Roman" w:cs="Times New Roman"/>
          <w:sz w:val="20"/>
          <w:szCs w:val="20"/>
          <w:lang w:val="en-US"/>
        </w:rPr>
        <w:t>.</w:t>
      </w:r>
      <w:r w:rsidR="004810FA" w:rsidRPr="0035095E">
        <w:rPr>
          <w:rFonts w:ascii="Times New Roman" w:hAnsi="Times New Roman" w:cs="Times New Roman"/>
          <w:sz w:val="20"/>
          <w:szCs w:val="20"/>
          <w:lang w:val="en-US"/>
        </w:rPr>
        <w:t xml:space="preserve"> </w:t>
      </w:r>
      <w:r w:rsidRPr="0035095E">
        <w:rPr>
          <w:rFonts w:ascii="Times New Roman" w:hAnsi="Times New Roman" w:cs="Times New Roman"/>
          <w:i/>
          <w:iCs/>
          <w:sz w:val="20"/>
          <w:szCs w:val="20"/>
          <w:lang w:val="en-US"/>
        </w:rPr>
        <w:t>Income</w:t>
      </w:r>
      <w:r w:rsidRPr="0035095E">
        <w:rPr>
          <w:rFonts w:ascii="Times New Roman" w:hAnsi="Times New Roman" w:cs="Times New Roman"/>
          <w:sz w:val="20"/>
          <w:szCs w:val="20"/>
          <w:lang w:val="en-US"/>
        </w:rPr>
        <w:t xml:space="preserve"> </w:t>
      </w:r>
      <w:r w:rsidR="00E607E9" w:rsidRPr="0035095E">
        <w:rPr>
          <w:rFonts w:ascii="Times New Roman" w:hAnsi="Times New Roman" w:cs="Times New Roman"/>
          <w:sz w:val="20"/>
          <w:szCs w:val="20"/>
          <w:lang w:val="en-US"/>
        </w:rPr>
        <w:t>captures</w:t>
      </w:r>
      <w:r w:rsidRPr="0035095E">
        <w:rPr>
          <w:rFonts w:ascii="Times New Roman" w:hAnsi="Times New Roman" w:cs="Times New Roman"/>
          <w:sz w:val="20"/>
          <w:szCs w:val="20"/>
          <w:lang w:val="en-US"/>
        </w:rPr>
        <w:t xml:space="preserve"> a participant’s household income and </w:t>
      </w:r>
      <w:r w:rsidR="001E479A" w:rsidRPr="0035095E">
        <w:rPr>
          <w:rFonts w:ascii="Times New Roman" w:hAnsi="Times New Roman" w:cs="Times New Roman"/>
          <w:sz w:val="20"/>
          <w:szCs w:val="20"/>
          <w:lang w:val="en-US"/>
        </w:rPr>
        <w:t>i</w:t>
      </w:r>
      <w:r w:rsidRPr="0035095E">
        <w:rPr>
          <w:rFonts w:ascii="Times New Roman" w:hAnsi="Times New Roman" w:cs="Times New Roman"/>
          <w:sz w:val="20"/>
          <w:szCs w:val="20"/>
          <w:lang w:val="en-US"/>
        </w:rPr>
        <w:t xml:space="preserve">s coded as 0 if the household income </w:t>
      </w:r>
      <w:r w:rsidR="001E479A" w:rsidRPr="0035095E">
        <w:rPr>
          <w:rFonts w:ascii="Times New Roman" w:hAnsi="Times New Roman" w:cs="Times New Roman"/>
          <w:sz w:val="20"/>
          <w:szCs w:val="20"/>
          <w:lang w:val="en-US"/>
        </w:rPr>
        <w:t>i</w:t>
      </w:r>
      <w:r w:rsidRPr="0035095E">
        <w:rPr>
          <w:rFonts w:ascii="Times New Roman" w:hAnsi="Times New Roman" w:cs="Times New Roman"/>
          <w:sz w:val="20"/>
          <w:szCs w:val="20"/>
          <w:lang w:val="en-US"/>
        </w:rPr>
        <w:t>s below $35,000</w:t>
      </w:r>
      <w:r w:rsidR="00ED78DB" w:rsidRPr="0035095E">
        <w:rPr>
          <w:rFonts w:ascii="Times New Roman" w:hAnsi="Times New Roman" w:cs="Times New Roman"/>
          <w:sz w:val="20"/>
          <w:szCs w:val="20"/>
          <w:lang w:val="en-US"/>
        </w:rPr>
        <w:t>;</w:t>
      </w:r>
      <w:r w:rsidRPr="0035095E">
        <w:rPr>
          <w:rFonts w:ascii="Times New Roman" w:hAnsi="Times New Roman" w:cs="Times New Roman"/>
          <w:sz w:val="20"/>
          <w:szCs w:val="20"/>
          <w:lang w:val="en-US"/>
        </w:rPr>
        <w:t xml:space="preserve"> 1 if it </w:t>
      </w:r>
      <w:r w:rsidR="001E479A" w:rsidRPr="0035095E">
        <w:rPr>
          <w:rFonts w:ascii="Times New Roman" w:hAnsi="Times New Roman" w:cs="Times New Roman"/>
          <w:sz w:val="20"/>
          <w:szCs w:val="20"/>
          <w:lang w:val="en-US"/>
        </w:rPr>
        <w:t>i</w:t>
      </w:r>
      <w:r w:rsidRPr="0035095E">
        <w:rPr>
          <w:rFonts w:ascii="Times New Roman" w:hAnsi="Times New Roman" w:cs="Times New Roman"/>
          <w:sz w:val="20"/>
          <w:szCs w:val="20"/>
          <w:lang w:val="en-US"/>
        </w:rPr>
        <w:t>s between $35,000 and $74,999</w:t>
      </w:r>
      <w:r w:rsidR="00ED78DB" w:rsidRPr="0035095E">
        <w:rPr>
          <w:rFonts w:ascii="Times New Roman" w:hAnsi="Times New Roman" w:cs="Times New Roman"/>
          <w:sz w:val="20"/>
          <w:szCs w:val="20"/>
          <w:lang w:val="en-US"/>
        </w:rPr>
        <w:t>;</w:t>
      </w:r>
      <w:r w:rsidRPr="0035095E">
        <w:rPr>
          <w:rFonts w:ascii="Times New Roman" w:hAnsi="Times New Roman" w:cs="Times New Roman"/>
          <w:sz w:val="20"/>
          <w:szCs w:val="20"/>
          <w:lang w:val="en-US"/>
        </w:rPr>
        <w:t xml:space="preserve"> 2 if it </w:t>
      </w:r>
      <w:r w:rsidR="001E479A" w:rsidRPr="0035095E">
        <w:rPr>
          <w:rFonts w:ascii="Times New Roman" w:hAnsi="Times New Roman" w:cs="Times New Roman"/>
          <w:sz w:val="20"/>
          <w:szCs w:val="20"/>
          <w:lang w:val="en-US"/>
        </w:rPr>
        <w:t>i</w:t>
      </w:r>
      <w:r w:rsidRPr="0035095E">
        <w:rPr>
          <w:rFonts w:ascii="Times New Roman" w:hAnsi="Times New Roman" w:cs="Times New Roman"/>
          <w:sz w:val="20"/>
          <w:szCs w:val="20"/>
          <w:lang w:val="en-US"/>
        </w:rPr>
        <w:t>s between $75,000 and $149,999</w:t>
      </w:r>
      <w:r w:rsidR="00ED78DB" w:rsidRPr="0035095E">
        <w:rPr>
          <w:rFonts w:ascii="Times New Roman" w:hAnsi="Times New Roman" w:cs="Times New Roman"/>
          <w:sz w:val="20"/>
          <w:szCs w:val="20"/>
          <w:lang w:val="en-US"/>
        </w:rPr>
        <w:t>;</w:t>
      </w:r>
      <w:r w:rsidRPr="0035095E">
        <w:rPr>
          <w:rFonts w:ascii="Times New Roman" w:hAnsi="Times New Roman" w:cs="Times New Roman"/>
          <w:sz w:val="20"/>
          <w:szCs w:val="20"/>
          <w:lang w:val="en-US"/>
        </w:rPr>
        <w:t xml:space="preserve"> and 3 if it </w:t>
      </w:r>
      <w:r w:rsidR="001E479A" w:rsidRPr="0035095E">
        <w:rPr>
          <w:rFonts w:ascii="Times New Roman" w:hAnsi="Times New Roman" w:cs="Times New Roman"/>
          <w:sz w:val="20"/>
          <w:szCs w:val="20"/>
          <w:lang w:val="en-US"/>
        </w:rPr>
        <w:t>i</w:t>
      </w:r>
      <w:r w:rsidRPr="0035095E">
        <w:rPr>
          <w:rFonts w:ascii="Times New Roman" w:hAnsi="Times New Roman" w:cs="Times New Roman"/>
          <w:sz w:val="20"/>
          <w:szCs w:val="20"/>
          <w:lang w:val="en-US"/>
        </w:rPr>
        <w:t xml:space="preserve">s above $150,000. </w:t>
      </w:r>
      <w:proofErr w:type="spellStart"/>
      <w:r w:rsidRPr="0035095E">
        <w:rPr>
          <w:rFonts w:ascii="Times New Roman" w:hAnsi="Times New Roman" w:cs="Times New Roman"/>
          <w:i/>
          <w:iCs/>
          <w:sz w:val="20"/>
          <w:szCs w:val="20"/>
          <w:lang w:val="en-US"/>
        </w:rPr>
        <w:t>WrkExp</w:t>
      </w:r>
      <w:proofErr w:type="spellEnd"/>
      <w:r w:rsidRPr="0035095E">
        <w:rPr>
          <w:rFonts w:ascii="Times New Roman" w:hAnsi="Times New Roman" w:cs="Times New Roman"/>
          <w:sz w:val="20"/>
          <w:szCs w:val="20"/>
          <w:lang w:val="en-US"/>
        </w:rPr>
        <w:t xml:space="preserve"> measures a participant’s work experience, coded as 0 for no paid work experience, 1 for paid work experience of less than three months, 2 for paid work experience between three months and one year, 3 for paid work experience between one and two years, and 4 for paid work experience longer than two years. </w:t>
      </w:r>
      <w:r w:rsidR="00430286" w:rsidRPr="0035095E">
        <w:rPr>
          <w:rFonts w:ascii="Times New Roman" w:hAnsi="Times New Roman" w:cs="Times New Roman"/>
          <w:sz w:val="20"/>
          <w:szCs w:val="20"/>
          <w:lang w:val="en-US"/>
        </w:rPr>
        <w:t xml:space="preserve">To capture </w:t>
      </w:r>
      <w:r w:rsidR="00637B74" w:rsidRPr="0035095E">
        <w:rPr>
          <w:rFonts w:ascii="Times New Roman" w:hAnsi="Times New Roman" w:cs="Times New Roman"/>
          <w:sz w:val="20"/>
          <w:szCs w:val="20"/>
          <w:lang w:val="en-US"/>
        </w:rPr>
        <w:t xml:space="preserve">a </w:t>
      </w:r>
      <w:r w:rsidR="00430286" w:rsidRPr="0035095E">
        <w:rPr>
          <w:rFonts w:ascii="Times New Roman" w:hAnsi="Times New Roman" w:cs="Times New Roman"/>
          <w:sz w:val="20"/>
          <w:szCs w:val="20"/>
          <w:lang w:val="en-US"/>
        </w:rPr>
        <w:t>participant’s family</w:t>
      </w:r>
      <w:r w:rsidR="001120E3" w:rsidRPr="0035095E">
        <w:rPr>
          <w:rFonts w:ascii="Times New Roman" w:hAnsi="Times New Roman" w:cs="Times New Roman"/>
          <w:sz w:val="20"/>
          <w:szCs w:val="20"/>
          <w:lang w:val="en-US"/>
        </w:rPr>
        <w:t xml:space="preserve"> influence</w:t>
      </w:r>
      <w:r w:rsidR="00430286" w:rsidRPr="0035095E">
        <w:rPr>
          <w:rFonts w:ascii="Times New Roman" w:hAnsi="Times New Roman" w:cs="Times New Roman"/>
          <w:sz w:val="20"/>
          <w:szCs w:val="20"/>
          <w:lang w:val="en-US"/>
        </w:rPr>
        <w:t xml:space="preserve">, </w:t>
      </w:r>
      <w:r w:rsidR="00502FB6" w:rsidRPr="0035095E">
        <w:rPr>
          <w:rFonts w:ascii="Times New Roman" w:hAnsi="Times New Roman" w:cs="Times New Roman"/>
          <w:i/>
          <w:iCs/>
          <w:sz w:val="20"/>
          <w:szCs w:val="20"/>
          <w:lang w:val="en-US"/>
        </w:rPr>
        <w:t>Family</w:t>
      </w:r>
      <w:r w:rsidR="00502FB6" w:rsidRPr="0035095E">
        <w:rPr>
          <w:rFonts w:ascii="Times New Roman" w:hAnsi="Times New Roman" w:cs="Times New Roman"/>
          <w:sz w:val="20"/>
          <w:szCs w:val="20"/>
          <w:lang w:val="en-US"/>
        </w:rPr>
        <w:t xml:space="preserve"> </w:t>
      </w:r>
      <w:r w:rsidR="001E479A" w:rsidRPr="0035095E">
        <w:rPr>
          <w:rFonts w:ascii="Times New Roman" w:hAnsi="Times New Roman" w:cs="Times New Roman"/>
          <w:sz w:val="20"/>
          <w:szCs w:val="20"/>
          <w:lang w:val="en-US"/>
        </w:rPr>
        <w:t>i</w:t>
      </w:r>
      <w:r w:rsidR="00502FB6" w:rsidRPr="0035095E">
        <w:rPr>
          <w:rFonts w:ascii="Times New Roman" w:hAnsi="Times New Roman" w:cs="Times New Roman"/>
          <w:sz w:val="20"/>
          <w:szCs w:val="20"/>
          <w:lang w:val="en-US"/>
        </w:rPr>
        <w:t>s coded as 1 if a participant ha</w:t>
      </w:r>
      <w:r w:rsidR="00A13A69" w:rsidRPr="0035095E">
        <w:rPr>
          <w:rFonts w:ascii="Times New Roman" w:hAnsi="Times New Roman" w:cs="Times New Roman"/>
          <w:sz w:val="20"/>
          <w:szCs w:val="20"/>
          <w:lang w:val="en-US"/>
        </w:rPr>
        <w:t>s</w:t>
      </w:r>
      <w:r w:rsidR="00502FB6" w:rsidRPr="0035095E">
        <w:rPr>
          <w:rFonts w:ascii="Times New Roman" w:hAnsi="Times New Roman" w:cs="Times New Roman"/>
          <w:sz w:val="20"/>
          <w:szCs w:val="20"/>
          <w:lang w:val="en-US"/>
        </w:rPr>
        <w:t xml:space="preserve"> an accountant in his or her family and 0 otherwise. </w:t>
      </w:r>
      <w:r w:rsidR="00502FB6" w:rsidRPr="0035095E">
        <w:rPr>
          <w:rFonts w:ascii="Times New Roman" w:hAnsi="Times New Roman" w:cs="Times New Roman"/>
          <w:iCs/>
          <w:sz w:val="20"/>
          <w:szCs w:val="20"/>
          <w:lang w:val="en-US"/>
        </w:rPr>
        <w:t>Tax filing experience</w:t>
      </w:r>
      <w:r w:rsidR="00710220" w:rsidRPr="0035095E">
        <w:rPr>
          <w:rFonts w:ascii="Times New Roman" w:hAnsi="Times New Roman" w:cs="Times New Roman"/>
          <w:sz w:val="20"/>
          <w:szCs w:val="20"/>
          <w:lang w:val="en-US"/>
        </w:rPr>
        <w:t xml:space="preserve"> is</w:t>
      </w:r>
      <w:r w:rsidR="00502FB6" w:rsidRPr="0035095E">
        <w:rPr>
          <w:rFonts w:ascii="Times New Roman" w:hAnsi="Times New Roman" w:cs="Times New Roman"/>
          <w:sz w:val="20"/>
          <w:szCs w:val="20"/>
          <w:lang w:val="en-US"/>
        </w:rPr>
        <w:t xml:space="preserve"> coded into</w:t>
      </w:r>
      <w:r w:rsidR="004C7F2E" w:rsidRPr="0035095E">
        <w:rPr>
          <w:rFonts w:ascii="Times New Roman" w:hAnsi="Times New Roman" w:cs="Times New Roman"/>
          <w:sz w:val="20"/>
          <w:szCs w:val="20"/>
          <w:lang w:val="en-US"/>
        </w:rPr>
        <w:t xml:space="preserve"> dichotomous variables to represent the type of filing experience</w:t>
      </w:r>
      <w:r w:rsidR="00710220" w:rsidRPr="0035095E">
        <w:rPr>
          <w:rFonts w:ascii="Times New Roman" w:hAnsi="Times New Roman" w:cs="Times New Roman"/>
          <w:sz w:val="20"/>
          <w:szCs w:val="20"/>
          <w:lang w:val="en-US"/>
        </w:rPr>
        <w:t>,</w:t>
      </w:r>
      <w:r w:rsidR="004C7F2E" w:rsidRPr="0035095E">
        <w:rPr>
          <w:rFonts w:ascii="Times New Roman" w:hAnsi="Times New Roman" w:cs="Times New Roman"/>
          <w:sz w:val="20"/>
          <w:szCs w:val="20"/>
          <w:lang w:val="en-US"/>
        </w:rPr>
        <w:t xml:space="preserve"> such as using computer software (</w:t>
      </w:r>
      <w:proofErr w:type="spellStart"/>
      <w:r w:rsidR="004C7F2E" w:rsidRPr="0035095E">
        <w:rPr>
          <w:rFonts w:ascii="Times New Roman" w:hAnsi="Times New Roman" w:cs="Times New Roman"/>
          <w:i/>
          <w:sz w:val="20"/>
          <w:szCs w:val="20"/>
          <w:lang w:val="en-US"/>
        </w:rPr>
        <w:t>SoftwareFile</w:t>
      </w:r>
      <w:proofErr w:type="spellEnd"/>
      <w:r w:rsidR="004C7F2E" w:rsidRPr="0035095E">
        <w:rPr>
          <w:rFonts w:ascii="Times New Roman" w:hAnsi="Times New Roman" w:cs="Times New Roman"/>
          <w:sz w:val="20"/>
          <w:szCs w:val="20"/>
          <w:lang w:val="en-US"/>
        </w:rPr>
        <w:t>), using a paper return (</w:t>
      </w:r>
      <w:proofErr w:type="spellStart"/>
      <w:r w:rsidR="004C7F2E" w:rsidRPr="0035095E">
        <w:rPr>
          <w:rFonts w:ascii="Times New Roman" w:hAnsi="Times New Roman" w:cs="Times New Roman"/>
          <w:i/>
          <w:sz w:val="20"/>
          <w:szCs w:val="20"/>
          <w:lang w:val="en-US"/>
        </w:rPr>
        <w:t>PaperFile</w:t>
      </w:r>
      <w:proofErr w:type="spellEnd"/>
      <w:r w:rsidR="004C7F2E" w:rsidRPr="0035095E">
        <w:rPr>
          <w:rFonts w:ascii="Times New Roman" w:hAnsi="Times New Roman" w:cs="Times New Roman"/>
          <w:sz w:val="20"/>
          <w:szCs w:val="20"/>
          <w:lang w:val="en-US"/>
        </w:rPr>
        <w:t>), hiring a professional (</w:t>
      </w:r>
      <w:proofErr w:type="spellStart"/>
      <w:r w:rsidR="004C7F2E" w:rsidRPr="0035095E">
        <w:rPr>
          <w:rFonts w:ascii="Times New Roman" w:hAnsi="Times New Roman" w:cs="Times New Roman"/>
          <w:i/>
          <w:sz w:val="20"/>
          <w:szCs w:val="20"/>
          <w:lang w:val="en-US"/>
        </w:rPr>
        <w:t>ProfFile</w:t>
      </w:r>
      <w:proofErr w:type="spellEnd"/>
      <w:r w:rsidR="004C7F2E" w:rsidRPr="0035095E">
        <w:rPr>
          <w:rFonts w:ascii="Times New Roman" w:hAnsi="Times New Roman" w:cs="Times New Roman"/>
          <w:sz w:val="20"/>
          <w:szCs w:val="20"/>
          <w:lang w:val="en-US"/>
        </w:rPr>
        <w:t>), or filing with parents (</w:t>
      </w:r>
      <w:proofErr w:type="spellStart"/>
      <w:r w:rsidR="004C7F2E" w:rsidRPr="0035095E">
        <w:rPr>
          <w:rFonts w:ascii="Times New Roman" w:hAnsi="Times New Roman" w:cs="Times New Roman"/>
          <w:i/>
          <w:sz w:val="20"/>
          <w:szCs w:val="20"/>
          <w:lang w:val="en-US"/>
        </w:rPr>
        <w:t>ParentFile</w:t>
      </w:r>
      <w:proofErr w:type="spellEnd"/>
      <w:r w:rsidR="004C7F2E" w:rsidRPr="0035095E">
        <w:rPr>
          <w:rFonts w:ascii="Times New Roman" w:hAnsi="Times New Roman" w:cs="Times New Roman"/>
          <w:sz w:val="20"/>
          <w:szCs w:val="20"/>
          <w:lang w:val="en-US"/>
        </w:rPr>
        <w:t xml:space="preserve">). </w:t>
      </w:r>
      <w:r w:rsidR="0097718F" w:rsidRPr="0035095E">
        <w:rPr>
          <w:rFonts w:ascii="Times New Roman" w:hAnsi="Times New Roman" w:cs="Times New Roman"/>
          <w:sz w:val="20"/>
          <w:szCs w:val="20"/>
          <w:lang w:val="en-US"/>
        </w:rPr>
        <w:t xml:space="preserve">Table 3 </w:t>
      </w:r>
      <w:r w:rsidR="00710220" w:rsidRPr="0035095E">
        <w:rPr>
          <w:rFonts w:ascii="Times New Roman" w:hAnsi="Times New Roman" w:cs="Times New Roman"/>
          <w:sz w:val="20"/>
          <w:szCs w:val="20"/>
          <w:lang w:val="en-US"/>
        </w:rPr>
        <w:t xml:space="preserve">presents </w:t>
      </w:r>
      <w:r w:rsidR="0097718F" w:rsidRPr="0035095E">
        <w:rPr>
          <w:rFonts w:ascii="Times New Roman" w:hAnsi="Times New Roman" w:cs="Times New Roman"/>
          <w:sz w:val="20"/>
          <w:szCs w:val="20"/>
          <w:lang w:val="en-US"/>
        </w:rPr>
        <w:t xml:space="preserve">the </w:t>
      </w:r>
      <w:r w:rsidR="0071255D" w:rsidRPr="0035095E">
        <w:rPr>
          <w:rFonts w:ascii="Times New Roman" w:hAnsi="Times New Roman" w:cs="Times New Roman"/>
          <w:sz w:val="20"/>
          <w:szCs w:val="20"/>
          <w:lang w:val="en-US"/>
        </w:rPr>
        <w:t xml:space="preserve">Pearson </w:t>
      </w:r>
      <w:r w:rsidR="0097718F" w:rsidRPr="0035095E">
        <w:rPr>
          <w:rFonts w:ascii="Times New Roman" w:hAnsi="Times New Roman" w:cs="Times New Roman"/>
          <w:sz w:val="20"/>
          <w:szCs w:val="20"/>
          <w:lang w:val="en-US"/>
        </w:rPr>
        <w:t>correlation matrix of the variables</w:t>
      </w:r>
      <w:r w:rsidR="0071255D" w:rsidRPr="0035095E">
        <w:rPr>
          <w:rFonts w:ascii="Times New Roman" w:hAnsi="Times New Roman" w:cs="Times New Roman"/>
          <w:sz w:val="20"/>
          <w:szCs w:val="20"/>
          <w:lang w:val="en-US"/>
        </w:rPr>
        <w:t xml:space="preserve"> </w:t>
      </w:r>
      <w:r w:rsidR="00710220" w:rsidRPr="0035095E">
        <w:rPr>
          <w:rFonts w:ascii="Times New Roman" w:hAnsi="Times New Roman" w:cs="Times New Roman"/>
          <w:sz w:val="20"/>
          <w:szCs w:val="20"/>
          <w:lang w:val="en-US"/>
        </w:rPr>
        <w:t xml:space="preserve">of interest </w:t>
      </w:r>
      <w:r w:rsidR="0071255D" w:rsidRPr="0035095E">
        <w:rPr>
          <w:rFonts w:ascii="Times New Roman" w:hAnsi="Times New Roman" w:cs="Times New Roman"/>
          <w:sz w:val="20"/>
          <w:szCs w:val="20"/>
          <w:lang w:val="en-US"/>
        </w:rPr>
        <w:t>with the</w:t>
      </w:r>
      <w:r w:rsidR="00710220" w:rsidRPr="0035095E">
        <w:rPr>
          <w:rFonts w:ascii="Times New Roman" w:hAnsi="Times New Roman" w:cs="Times New Roman"/>
          <w:sz w:val="20"/>
          <w:szCs w:val="20"/>
          <w:lang w:val="en-US"/>
        </w:rPr>
        <w:t>ir</w:t>
      </w:r>
      <w:r w:rsidR="0071255D" w:rsidRPr="0035095E">
        <w:rPr>
          <w:rFonts w:ascii="Times New Roman" w:hAnsi="Times New Roman" w:cs="Times New Roman"/>
          <w:sz w:val="20"/>
          <w:szCs w:val="20"/>
          <w:lang w:val="en-US"/>
        </w:rPr>
        <w:t xml:space="preserve"> </w:t>
      </w:r>
      <w:r w:rsidR="0071255D" w:rsidRPr="0035095E">
        <w:rPr>
          <w:rFonts w:ascii="Times New Roman" w:hAnsi="Times New Roman" w:cs="Times New Roman"/>
          <w:i/>
          <w:sz w:val="20"/>
          <w:szCs w:val="20"/>
          <w:lang w:val="en-US"/>
        </w:rPr>
        <w:t>p</w:t>
      </w:r>
      <w:r w:rsidR="0071255D" w:rsidRPr="0035095E">
        <w:rPr>
          <w:rFonts w:ascii="Times New Roman" w:hAnsi="Times New Roman" w:cs="Times New Roman"/>
          <w:sz w:val="20"/>
          <w:szCs w:val="20"/>
          <w:lang w:val="en-US"/>
        </w:rPr>
        <w:t>-values in parentheses</w:t>
      </w:r>
      <w:r w:rsidR="0097718F" w:rsidRPr="0035095E">
        <w:rPr>
          <w:rFonts w:ascii="Times New Roman" w:hAnsi="Times New Roman" w:cs="Times New Roman"/>
          <w:sz w:val="20"/>
          <w:szCs w:val="20"/>
          <w:lang w:val="en-US"/>
        </w:rPr>
        <w:t>.</w:t>
      </w:r>
      <w:r w:rsidR="00CB7FF6">
        <w:rPr>
          <w:rFonts w:ascii="Times New Roman" w:hAnsi="Times New Roman" w:cs="Times New Roman"/>
          <w:sz w:val="20"/>
          <w:szCs w:val="20"/>
          <w:lang w:val="en-US"/>
        </w:rPr>
        <w:t xml:space="preserve">  </w:t>
      </w:r>
    </w:p>
    <w:p w14:paraId="7AD2AF52" w14:textId="77777777" w:rsidR="00CB7FF6" w:rsidRPr="0035095E" w:rsidRDefault="00CB7FF6" w:rsidP="00C45D4F">
      <w:pPr>
        <w:rPr>
          <w:rFonts w:ascii="Times New Roman" w:hAnsi="Times New Roman" w:cs="Times New Roman"/>
          <w:sz w:val="20"/>
          <w:szCs w:val="20"/>
          <w:lang w:val="en-US"/>
        </w:rPr>
      </w:pPr>
    </w:p>
    <w:p w14:paraId="7E6128C4" w14:textId="647D0E38" w:rsidR="0071255D" w:rsidRDefault="006606E2" w:rsidP="00C45D4F">
      <w:pPr>
        <w:rPr>
          <w:rFonts w:ascii="Times New Roman" w:hAnsi="Times New Roman" w:cs="Times New Roman"/>
          <w:sz w:val="20"/>
          <w:szCs w:val="20"/>
          <w:lang w:val="en-US"/>
        </w:rPr>
      </w:pPr>
      <w:r w:rsidRPr="0035095E">
        <w:rPr>
          <w:rFonts w:ascii="Times New Roman" w:hAnsi="Times New Roman" w:cs="Times New Roman"/>
          <w:sz w:val="20"/>
          <w:szCs w:val="20"/>
          <w:lang w:val="en-US"/>
        </w:rPr>
        <w:t>Table 3 shows that f</w:t>
      </w:r>
      <w:r w:rsidR="003A61BB" w:rsidRPr="0035095E">
        <w:rPr>
          <w:rFonts w:ascii="Times New Roman" w:hAnsi="Times New Roman" w:cs="Times New Roman"/>
          <w:sz w:val="20"/>
          <w:szCs w:val="20"/>
          <w:lang w:val="en-US"/>
        </w:rPr>
        <w:t xml:space="preserve">inancial literacy </w:t>
      </w:r>
      <w:r w:rsidR="00B70190" w:rsidRPr="0035095E">
        <w:rPr>
          <w:rFonts w:ascii="Times New Roman" w:hAnsi="Times New Roman" w:cs="Times New Roman"/>
          <w:sz w:val="20"/>
          <w:szCs w:val="20"/>
          <w:lang w:val="en-US"/>
        </w:rPr>
        <w:t>(</w:t>
      </w:r>
      <w:proofErr w:type="spellStart"/>
      <w:r w:rsidR="00B70190" w:rsidRPr="0035095E">
        <w:rPr>
          <w:rFonts w:ascii="Times New Roman" w:hAnsi="Times New Roman" w:cs="Times New Roman"/>
          <w:i/>
          <w:sz w:val="20"/>
          <w:szCs w:val="20"/>
          <w:lang w:val="en-US"/>
        </w:rPr>
        <w:t>FinLit</w:t>
      </w:r>
      <w:proofErr w:type="spellEnd"/>
      <w:r w:rsidR="00B70190" w:rsidRPr="0035095E">
        <w:rPr>
          <w:rFonts w:ascii="Times New Roman" w:hAnsi="Times New Roman" w:cs="Times New Roman"/>
          <w:sz w:val="20"/>
          <w:szCs w:val="20"/>
          <w:lang w:val="en-US"/>
        </w:rPr>
        <w:t xml:space="preserve">) </w:t>
      </w:r>
      <w:r w:rsidR="003A61BB" w:rsidRPr="0035095E">
        <w:rPr>
          <w:rFonts w:ascii="Times New Roman" w:hAnsi="Times New Roman" w:cs="Times New Roman"/>
          <w:sz w:val="20"/>
          <w:szCs w:val="20"/>
          <w:lang w:val="en-US"/>
        </w:rPr>
        <w:t>is positively correlated with financial confidence</w:t>
      </w:r>
      <w:r w:rsidR="00B70190" w:rsidRPr="0035095E">
        <w:rPr>
          <w:rFonts w:ascii="Times New Roman" w:hAnsi="Times New Roman" w:cs="Times New Roman"/>
          <w:sz w:val="20"/>
          <w:szCs w:val="20"/>
          <w:lang w:val="en-US"/>
        </w:rPr>
        <w:t xml:space="preserve"> (</w:t>
      </w:r>
      <w:proofErr w:type="spellStart"/>
      <w:r w:rsidR="00B70190" w:rsidRPr="0035095E">
        <w:rPr>
          <w:rFonts w:ascii="Times New Roman" w:hAnsi="Times New Roman" w:cs="Times New Roman"/>
          <w:i/>
          <w:sz w:val="20"/>
          <w:szCs w:val="20"/>
          <w:lang w:val="en-US"/>
        </w:rPr>
        <w:t>FinConf</w:t>
      </w:r>
      <w:proofErr w:type="spellEnd"/>
      <w:r w:rsidR="00B70190" w:rsidRPr="0035095E">
        <w:rPr>
          <w:rFonts w:ascii="Times New Roman" w:hAnsi="Times New Roman" w:cs="Times New Roman"/>
          <w:sz w:val="20"/>
          <w:szCs w:val="20"/>
          <w:lang w:val="en-US"/>
        </w:rPr>
        <w:t>)</w:t>
      </w:r>
      <w:r w:rsidR="003A61BB" w:rsidRPr="0035095E">
        <w:rPr>
          <w:rFonts w:ascii="Times New Roman" w:hAnsi="Times New Roman" w:cs="Times New Roman"/>
          <w:sz w:val="20"/>
          <w:szCs w:val="20"/>
          <w:lang w:val="en-US"/>
        </w:rPr>
        <w:t xml:space="preserve">. Participants’ financial literacy is higher in males and those who have </w:t>
      </w:r>
      <w:r w:rsidR="00772DFF" w:rsidRPr="0035095E">
        <w:rPr>
          <w:rFonts w:ascii="Times New Roman" w:hAnsi="Times New Roman" w:cs="Times New Roman"/>
          <w:sz w:val="20"/>
          <w:szCs w:val="20"/>
          <w:lang w:val="en-US"/>
        </w:rPr>
        <w:t>more financial expe</w:t>
      </w:r>
      <w:r w:rsidR="00F71F38" w:rsidRPr="0035095E">
        <w:rPr>
          <w:rFonts w:ascii="Times New Roman" w:hAnsi="Times New Roman" w:cs="Times New Roman"/>
          <w:sz w:val="20"/>
          <w:szCs w:val="20"/>
          <w:lang w:val="en-US"/>
        </w:rPr>
        <w:t>rie</w:t>
      </w:r>
      <w:r w:rsidR="00772DFF" w:rsidRPr="0035095E">
        <w:rPr>
          <w:rFonts w:ascii="Times New Roman" w:hAnsi="Times New Roman" w:cs="Times New Roman"/>
          <w:sz w:val="20"/>
          <w:szCs w:val="20"/>
          <w:lang w:val="en-US"/>
        </w:rPr>
        <w:t>nces</w:t>
      </w:r>
      <w:r w:rsidR="00B70190" w:rsidRPr="0035095E">
        <w:rPr>
          <w:rFonts w:ascii="Times New Roman" w:hAnsi="Times New Roman" w:cs="Times New Roman"/>
          <w:sz w:val="20"/>
          <w:szCs w:val="20"/>
          <w:lang w:val="en-US"/>
        </w:rPr>
        <w:t xml:space="preserve"> (</w:t>
      </w:r>
      <w:proofErr w:type="spellStart"/>
      <w:r w:rsidR="00772DFF" w:rsidRPr="0035095E">
        <w:rPr>
          <w:rFonts w:ascii="Times New Roman" w:hAnsi="Times New Roman" w:cs="Times New Roman"/>
          <w:i/>
          <w:sz w:val="20"/>
          <w:szCs w:val="20"/>
          <w:lang w:val="en-US"/>
        </w:rPr>
        <w:t>FinExp</w:t>
      </w:r>
      <w:proofErr w:type="spellEnd"/>
      <w:r w:rsidR="00B70190" w:rsidRPr="0035095E">
        <w:rPr>
          <w:rFonts w:ascii="Times New Roman" w:hAnsi="Times New Roman" w:cs="Times New Roman"/>
          <w:sz w:val="20"/>
          <w:szCs w:val="20"/>
          <w:lang w:val="en-US"/>
        </w:rPr>
        <w:t>)</w:t>
      </w:r>
      <w:r w:rsidR="003A61BB" w:rsidRPr="0035095E">
        <w:rPr>
          <w:rFonts w:ascii="Times New Roman" w:hAnsi="Times New Roman" w:cs="Times New Roman"/>
          <w:sz w:val="20"/>
          <w:szCs w:val="20"/>
          <w:lang w:val="en-US"/>
        </w:rPr>
        <w:t xml:space="preserve">. </w:t>
      </w:r>
      <w:proofErr w:type="spellStart"/>
      <w:r w:rsidR="0061496C" w:rsidRPr="0035095E">
        <w:rPr>
          <w:rFonts w:ascii="Times New Roman" w:hAnsi="Times New Roman" w:cs="Times New Roman"/>
          <w:i/>
          <w:sz w:val="20"/>
          <w:szCs w:val="20"/>
          <w:lang w:val="en-US"/>
        </w:rPr>
        <w:t>FinLit</w:t>
      </w:r>
      <w:proofErr w:type="spellEnd"/>
      <w:r w:rsidR="0061496C" w:rsidRPr="0035095E">
        <w:rPr>
          <w:rFonts w:ascii="Times New Roman" w:hAnsi="Times New Roman" w:cs="Times New Roman"/>
          <w:sz w:val="20"/>
          <w:szCs w:val="20"/>
          <w:lang w:val="en-US"/>
        </w:rPr>
        <w:t xml:space="preserve"> is </w:t>
      </w:r>
      <w:r w:rsidR="00F71F38" w:rsidRPr="0035095E">
        <w:rPr>
          <w:rFonts w:ascii="Times New Roman" w:hAnsi="Times New Roman" w:cs="Times New Roman"/>
          <w:sz w:val="20"/>
          <w:szCs w:val="20"/>
          <w:lang w:val="en-US"/>
        </w:rPr>
        <w:t xml:space="preserve">weakly correlated to participants’ paper return filing experiences but </w:t>
      </w:r>
      <w:r w:rsidR="0061496C" w:rsidRPr="0035095E">
        <w:rPr>
          <w:rFonts w:ascii="Times New Roman" w:hAnsi="Times New Roman" w:cs="Times New Roman"/>
          <w:sz w:val="20"/>
          <w:szCs w:val="20"/>
          <w:lang w:val="en-US"/>
        </w:rPr>
        <w:t xml:space="preserve">not </w:t>
      </w:r>
      <w:r w:rsidR="00F71F38" w:rsidRPr="0035095E">
        <w:rPr>
          <w:rFonts w:ascii="Times New Roman" w:hAnsi="Times New Roman" w:cs="Times New Roman"/>
          <w:sz w:val="20"/>
          <w:szCs w:val="20"/>
          <w:lang w:val="en-US"/>
        </w:rPr>
        <w:t xml:space="preserve">to other forms of </w:t>
      </w:r>
      <w:r w:rsidR="0061496C" w:rsidRPr="0035095E">
        <w:rPr>
          <w:rFonts w:ascii="Times New Roman" w:hAnsi="Times New Roman" w:cs="Times New Roman"/>
          <w:sz w:val="20"/>
          <w:szCs w:val="20"/>
          <w:lang w:val="en-US"/>
        </w:rPr>
        <w:t>return filing experience</w:t>
      </w:r>
      <w:r w:rsidR="00F71F38" w:rsidRPr="0035095E">
        <w:rPr>
          <w:rFonts w:ascii="Times New Roman" w:hAnsi="Times New Roman" w:cs="Times New Roman"/>
          <w:sz w:val="20"/>
          <w:szCs w:val="20"/>
          <w:lang w:val="en-US"/>
        </w:rPr>
        <w:t>s</w:t>
      </w:r>
      <w:r w:rsidR="0061496C" w:rsidRPr="0035095E">
        <w:rPr>
          <w:rFonts w:ascii="Times New Roman" w:hAnsi="Times New Roman" w:cs="Times New Roman"/>
          <w:sz w:val="20"/>
          <w:szCs w:val="20"/>
          <w:lang w:val="en-US"/>
        </w:rPr>
        <w:t xml:space="preserve">. </w:t>
      </w:r>
      <w:proofErr w:type="spellStart"/>
      <w:r w:rsidR="007F1D7C" w:rsidRPr="0035095E">
        <w:rPr>
          <w:rFonts w:ascii="Times New Roman" w:hAnsi="Times New Roman" w:cs="Times New Roman"/>
          <w:i/>
          <w:sz w:val="20"/>
          <w:szCs w:val="20"/>
          <w:lang w:val="en-US"/>
        </w:rPr>
        <w:t>FinConf</w:t>
      </w:r>
      <w:proofErr w:type="spellEnd"/>
      <w:r w:rsidR="003A61BB" w:rsidRPr="0035095E">
        <w:rPr>
          <w:rFonts w:ascii="Times New Roman" w:hAnsi="Times New Roman" w:cs="Times New Roman"/>
          <w:sz w:val="20"/>
          <w:szCs w:val="20"/>
          <w:lang w:val="en-US"/>
        </w:rPr>
        <w:t xml:space="preserve"> is positively correlated with </w:t>
      </w:r>
      <w:r w:rsidR="00284FA0" w:rsidRPr="0035095E">
        <w:rPr>
          <w:rFonts w:ascii="Times New Roman" w:hAnsi="Times New Roman" w:cs="Times New Roman"/>
          <w:i/>
          <w:sz w:val="20"/>
          <w:szCs w:val="20"/>
          <w:lang w:val="en-US"/>
        </w:rPr>
        <w:t>Age</w:t>
      </w:r>
      <w:r w:rsidR="00284FA0" w:rsidRPr="0035095E">
        <w:rPr>
          <w:rFonts w:ascii="Times New Roman" w:hAnsi="Times New Roman" w:cs="Times New Roman"/>
          <w:sz w:val="20"/>
          <w:szCs w:val="20"/>
          <w:lang w:val="en-US"/>
        </w:rPr>
        <w:t xml:space="preserve">, </w:t>
      </w:r>
      <w:r w:rsidR="00CE2F69" w:rsidRPr="0035095E">
        <w:rPr>
          <w:rFonts w:ascii="Times New Roman" w:hAnsi="Times New Roman" w:cs="Times New Roman"/>
          <w:sz w:val="20"/>
          <w:szCs w:val="20"/>
          <w:lang w:val="en-US"/>
        </w:rPr>
        <w:t xml:space="preserve">tax filing experiences </w:t>
      </w:r>
      <w:r w:rsidR="00772DFF" w:rsidRPr="0035095E">
        <w:rPr>
          <w:rFonts w:ascii="Times New Roman" w:hAnsi="Times New Roman" w:cs="Times New Roman"/>
          <w:sz w:val="20"/>
          <w:szCs w:val="20"/>
          <w:lang w:val="en-US"/>
        </w:rPr>
        <w:t>using a software (</w:t>
      </w:r>
      <w:proofErr w:type="spellStart"/>
      <w:r w:rsidR="00772DFF" w:rsidRPr="0035095E">
        <w:rPr>
          <w:rFonts w:ascii="Times New Roman" w:hAnsi="Times New Roman" w:cs="Times New Roman"/>
          <w:i/>
          <w:sz w:val="20"/>
          <w:szCs w:val="20"/>
          <w:lang w:val="en-US"/>
        </w:rPr>
        <w:t>SoftwareFile</w:t>
      </w:r>
      <w:proofErr w:type="spellEnd"/>
      <w:r w:rsidR="00772DFF" w:rsidRPr="0035095E">
        <w:rPr>
          <w:rFonts w:ascii="Times New Roman" w:hAnsi="Times New Roman" w:cs="Times New Roman"/>
          <w:i/>
          <w:sz w:val="20"/>
          <w:szCs w:val="20"/>
          <w:lang w:val="en-US"/>
        </w:rPr>
        <w:t>)</w:t>
      </w:r>
      <w:r w:rsidR="003A61BB" w:rsidRPr="0035095E">
        <w:rPr>
          <w:rFonts w:ascii="Times New Roman" w:hAnsi="Times New Roman" w:cs="Times New Roman"/>
          <w:sz w:val="20"/>
          <w:szCs w:val="20"/>
          <w:lang w:val="en-US"/>
        </w:rPr>
        <w:t xml:space="preserve">, and having taken </w:t>
      </w:r>
      <w:r w:rsidR="00772DFF" w:rsidRPr="0035095E">
        <w:rPr>
          <w:rFonts w:ascii="Times New Roman" w:hAnsi="Times New Roman" w:cs="Times New Roman"/>
          <w:sz w:val="20"/>
          <w:szCs w:val="20"/>
          <w:lang w:val="en-US"/>
        </w:rPr>
        <w:t xml:space="preserve">upper-level </w:t>
      </w:r>
      <w:r w:rsidR="003A61BB" w:rsidRPr="0035095E">
        <w:rPr>
          <w:rFonts w:ascii="Times New Roman" w:hAnsi="Times New Roman" w:cs="Times New Roman"/>
          <w:sz w:val="20"/>
          <w:szCs w:val="20"/>
          <w:lang w:val="en-US"/>
        </w:rPr>
        <w:t xml:space="preserve">accounting </w:t>
      </w:r>
      <w:r w:rsidR="00284FA0" w:rsidRPr="0035095E">
        <w:rPr>
          <w:rFonts w:ascii="Times New Roman" w:hAnsi="Times New Roman" w:cs="Times New Roman"/>
          <w:sz w:val="20"/>
          <w:szCs w:val="20"/>
          <w:lang w:val="en-US"/>
        </w:rPr>
        <w:t>(</w:t>
      </w:r>
      <w:proofErr w:type="spellStart"/>
      <w:r w:rsidR="00284FA0" w:rsidRPr="0035095E">
        <w:rPr>
          <w:rFonts w:ascii="Times New Roman" w:hAnsi="Times New Roman" w:cs="Times New Roman"/>
          <w:i/>
          <w:sz w:val="20"/>
          <w:szCs w:val="20"/>
          <w:lang w:val="en-US"/>
        </w:rPr>
        <w:t>UpperAcctg</w:t>
      </w:r>
      <w:proofErr w:type="spellEnd"/>
      <w:r w:rsidR="00284FA0" w:rsidRPr="0035095E">
        <w:rPr>
          <w:rFonts w:ascii="Times New Roman" w:hAnsi="Times New Roman" w:cs="Times New Roman"/>
          <w:sz w:val="20"/>
          <w:szCs w:val="20"/>
          <w:lang w:val="en-US"/>
        </w:rPr>
        <w:t xml:space="preserve">) </w:t>
      </w:r>
      <w:r w:rsidR="003A61BB" w:rsidRPr="0035095E">
        <w:rPr>
          <w:rFonts w:ascii="Times New Roman" w:hAnsi="Times New Roman" w:cs="Times New Roman"/>
          <w:sz w:val="20"/>
          <w:szCs w:val="20"/>
          <w:lang w:val="en-US"/>
        </w:rPr>
        <w:t>or</w:t>
      </w:r>
      <w:r w:rsidR="00F71F38" w:rsidRPr="0035095E">
        <w:rPr>
          <w:rFonts w:ascii="Times New Roman" w:hAnsi="Times New Roman" w:cs="Times New Roman"/>
          <w:sz w:val="20"/>
          <w:szCs w:val="20"/>
          <w:lang w:val="en-US"/>
        </w:rPr>
        <w:t xml:space="preserve"> upper-level </w:t>
      </w:r>
      <w:r w:rsidR="003A61BB" w:rsidRPr="0035095E">
        <w:rPr>
          <w:rFonts w:ascii="Times New Roman" w:hAnsi="Times New Roman" w:cs="Times New Roman"/>
          <w:sz w:val="20"/>
          <w:szCs w:val="20"/>
          <w:lang w:val="en-US"/>
        </w:rPr>
        <w:t>tax courses</w:t>
      </w:r>
      <w:r w:rsidR="00284FA0" w:rsidRPr="0035095E">
        <w:rPr>
          <w:rFonts w:ascii="Times New Roman" w:hAnsi="Times New Roman" w:cs="Times New Roman"/>
          <w:sz w:val="20"/>
          <w:szCs w:val="20"/>
          <w:lang w:val="en-US"/>
        </w:rPr>
        <w:t xml:space="preserve"> (</w:t>
      </w:r>
      <w:proofErr w:type="spellStart"/>
      <w:r w:rsidR="00F71F38" w:rsidRPr="0035095E">
        <w:rPr>
          <w:rFonts w:ascii="Times New Roman" w:hAnsi="Times New Roman" w:cs="Times New Roman"/>
          <w:i/>
          <w:sz w:val="20"/>
          <w:szCs w:val="20"/>
          <w:lang w:val="en-US"/>
        </w:rPr>
        <w:t>Upper</w:t>
      </w:r>
      <w:r w:rsidR="00284FA0" w:rsidRPr="0035095E">
        <w:rPr>
          <w:rFonts w:ascii="Times New Roman" w:hAnsi="Times New Roman" w:cs="Times New Roman"/>
          <w:i/>
          <w:sz w:val="20"/>
          <w:szCs w:val="20"/>
          <w:lang w:val="en-US"/>
        </w:rPr>
        <w:t>Tax</w:t>
      </w:r>
      <w:proofErr w:type="spellEnd"/>
      <w:r w:rsidR="00284FA0" w:rsidRPr="0035095E">
        <w:rPr>
          <w:rFonts w:ascii="Times New Roman" w:hAnsi="Times New Roman" w:cs="Times New Roman"/>
          <w:sz w:val="20"/>
          <w:szCs w:val="20"/>
          <w:lang w:val="en-US"/>
        </w:rPr>
        <w:t>)</w:t>
      </w:r>
      <w:r w:rsidR="003A61BB" w:rsidRPr="0035095E">
        <w:rPr>
          <w:rFonts w:ascii="Times New Roman" w:hAnsi="Times New Roman" w:cs="Times New Roman"/>
          <w:sz w:val="20"/>
          <w:szCs w:val="20"/>
          <w:lang w:val="en-US"/>
        </w:rPr>
        <w:t xml:space="preserve">. </w:t>
      </w:r>
      <w:r w:rsidR="0071255D" w:rsidRPr="0035095E">
        <w:rPr>
          <w:rFonts w:ascii="Times New Roman" w:hAnsi="Times New Roman" w:cs="Times New Roman"/>
          <w:i/>
          <w:sz w:val="20"/>
          <w:szCs w:val="20"/>
          <w:lang w:val="en-US"/>
        </w:rPr>
        <w:t>Age</w:t>
      </w:r>
      <w:r w:rsidR="0071255D" w:rsidRPr="0035095E">
        <w:rPr>
          <w:rFonts w:ascii="Times New Roman" w:hAnsi="Times New Roman" w:cs="Times New Roman"/>
          <w:sz w:val="20"/>
          <w:szCs w:val="20"/>
          <w:lang w:val="en-US"/>
        </w:rPr>
        <w:t xml:space="preserve"> is positively associated with participants’ </w:t>
      </w:r>
      <w:r w:rsidR="008361EF" w:rsidRPr="0035095E">
        <w:rPr>
          <w:rFonts w:ascii="Times New Roman" w:hAnsi="Times New Roman" w:cs="Times New Roman"/>
          <w:sz w:val="20"/>
          <w:szCs w:val="20"/>
          <w:lang w:val="en-US"/>
        </w:rPr>
        <w:t xml:space="preserve">own </w:t>
      </w:r>
      <w:r w:rsidR="0071255D" w:rsidRPr="0035095E">
        <w:rPr>
          <w:rFonts w:ascii="Times New Roman" w:hAnsi="Times New Roman" w:cs="Times New Roman"/>
          <w:sz w:val="20"/>
          <w:szCs w:val="20"/>
          <w:lang w:val="en-US"/>
        </w:rPr>
        <w:t>return filing experience</w:t>
      </w:r>
      <w:r w:rsidR="008361EF" w:rsidRPr="0035095E">
        <w:rPr>
          <w:rFonts w:ascii="Times New Roman" w:hAnsi="Times New Roman" w:cs="Times New Roman"/>
          <w:sz w:val="20"/>
          <w:szCs w:val="20"/>
          <w:lang w:val="en-US"/>
        </w:rPr>
        <w:t>s</w:t>
      </w:r>
      <w:r w:rsidR="0071255D" w:rsidRPr="0035095E">
        <w:rPr>
          <w:rFonts w:ascii="Times New Roman" w:hAnsi="Times New Roman" w:cs="Times New Roman"/>
          <w:sz w:val="20"/>
          <w:szCs w:val="20"/>
          <w:lang w:val="en-US"/>
        </w:rPr>
        <w:t xml:space="preserve"> </w:t>
      </w:r>
      <w:r w:rsidR="00710220" w:rsidRPr="0035095E">
        <w:rPr>
          <w:rFonts w:ascii="Times New Roman" w:hAnsi="Times New Roman" w:cs="Times New Roman"/>
          <w:sz w:val="20"/>
          <w:szCs w:val="20"/>
          <w:lang w:val="en-US"/>
        </w:rPr>
        <w:t>(</w:t>
      </w:r>
      <w:proofErr w:type="spellStart"/>
      <w:r w:rsidR="00284FA0" w:rsidRPr="0035095E">
        <w:rPr>
          <w:rFonts w:ascii="Times New Roman" w:hAnsi="Times New Roman" w:cs="Times New Roman"/>
          <w:i/>
          <w:sz w:val="20"/>
          <w:szCs w:val="20"/>
          <w:lang w:val="en-US"/>
        </w:rPr>
        <w:t>PaperFile</w:t>
      </w:r>
      <w:proofErr w:type="spellEnd"/>
      <w:r w:rsidR="0071255D" w:rsidRPr="0035095E">
        <w:rPr>
          <w:rFonts w:ascii="Times New Roman" w:hAnsi="Times New Roman" w:cs="Times New Roman"/>
          <w:sz w:val="20"/>
          <w:szCs w:val="20"/>
          <w:lang w:val="en-US"/>
        </w:rPr>
        <w:t xml:space="preserve">, </w:t>
      </w:r>
      <w:proofErr w:type="spellStart"/>
      <w:r w:rsidR="00284FA0" w:rsidRPr="0035095E">
        <w:rPr>
          <w:rFonts w:ascii="Times New Roman" w:hAnsi="Times New Roman" w:cs="Times New Roman"/>
          <w:i/>
          <w:sz w:val="20"/>
          <w:szCs w:val="20"/>
          <w:lang w:val="en-US"/>
        </w:rPr>
        <w:t>SoftwareFile</w:t>
      </w:r>
      <w:proofErr w:type="spellEnd"/>
      <w:r w:rsidR="0071255D" w:rsidRPr="0035095E">
        <w:rPr>
          <w:rFonts w:ascii="Times New Roman" w:hAnsi="Times New Roman" w:cs="Times New Roman"/>
          <w:sz w:val="20"/>
          <w:szCs w:val="20"/>
          <w:lang w:val="en-US"/>
        </w:rPr>
        <w:t xml:space="preserve">, </w:t>
      </w:r>
      <w:r w:rsidR="00284FA0" w:rsidRPr="0035095E">
        <w:rPr>
          <w:rFonts w:ascii="Times New Roman" w:hAnsi="Times New Roman" w:cs="Times New Roman"/>
          <w:sz w:val="20"/>
          <w:szCs w:val="20"/>
          <w:lang w:val="en-US"/>
        </w:rPr>
        <w:t>and</w:t>
      </w:r>
      <w:r w:rsidR="0071255D" w:rsidRPr="0035095E">
        <w:rPr>
          <w:rFonts w:ascii="Times New Roman" w:hAnsi="Times New Roman" w:cs="Times New Roman"/>
          <w:sz w:val="20"/>
          <w:szCs w:val="20"/>
          <w:lang w:val="en-US"/>
        </w:rPr>
        <w:t xml:space="preserve"> </w:t>
      </w:r>
      <w:proofErr w:type="spellStart"/>
      <w:r w:rsidR="00B70190" w:rsidRPr="0035095E">
        <w:rPr>
          <w:rFonts w:ascii="Times New Roman" w:hAnsi="Times New Roman" w:cs="Times New Roman"/>
          <w:i/>
          <w:sz w:val="20"/>
          <w:szCs w:val="20"/>
          <w:lang w:val="en-US"/>
        </w:rPr>
        <w:t>ProfFile</w:t>
      </w:r>
      <w:proofErr w:type="spellEnd"/>
      <w:r w:rsidR="00710220" w:rsidRPr="0035095E">
        <w:rPr>
          <w:rFonts w:ascii="Times New Roman" w:hAnsi="Times New Roman" w:cs="Times New Roman"/>
          <w:sz w:val="20"/>
          <w:szCs w:val="20"/>
          <w:lang w:val="en-US"/>
        </w:rPr>
        <w:t>)</w:t>
      </w:r>
      <w:r w:rsidR="0071255D" w:rsidRPr="0035095E">
        <w:rPr>
          <w:rFonts w:ascii="Times New Roman" w:hAnsi="Times New Roman" w:cs="Times New Roman"/>
          <w:sz w:val="20"/>
          <w:szCs w:val="20"/>
          <w:lang w:val="en-US"/>
        </w:rPr>
        <w:t xml:space="preserve">. </w:t>
      </w:r>
      <w:r w:rsidR="008361EF" w:rsidRPr="0035095E">
        <w:rPr>
          <w:rFonts w:ascii="Times New Roman" w:hAnsi="Times New Roman" w:cs="Times New Roman"/>
          <w:sz w:val="20"/>
          <w:szCs w:val="20"/>
          <w:lang w:val="en-US"/>
        </w:rPr>
        <w:t>F</w:t>
      </w:r>
      <w:r w:rsidR="0071255D" w:rsidRPr="0035095E">
        <w:rPr>
          <w:rFonts w:ascii="Times New Roman" w:hAnsi="Times New Roman" w:cs="Times New Roman"/>
          <w:sz w:val="20"/>
          <w:szCs w:val="20"/>
          <w:lang w:val="en-US"/>
        </w:rPr>
        <w:t>emales seem to have more work experience</w:t>
      </w:r>
      <w:r w:rsidR="000D5B43" w:rsidRPr="0035095E">
        <w:rPr>
          <w:rFonts w:ascii="Times New Roman" w:hAnsi="Times New Roman" w:cs="Times New Roman"/>
          <w:sz w:val="20"/>
          <w:szCs w:val="20"/>
          <w:lang w:val="en-US"/>
        </w:rPr>
        <w:t>s than males</w:t>
      </w:r>
      <w:r w:rsidR="004E66C3" w:rsidRPr="0035095E">
        <w:rPr>
          <w:rFonts w:ascii="Times New Roman" w:hAnsi="Times New Roman" w:cs="Times New Roman"/>
          <w:sz w:val="20"/>
          <w:szCs w:val="20"/>
          <w:lang w:val="en-US"/>
        </w:rPr>
        <w:t xml:space="preserve"> (</w:t>
      </w:r>
      <w:r w:rsidR="004E66C3" w:rsidRPr="0035095E">
        <w:rPr>
          <w:rFonts w:ascii="Times New Roman" w:hAnsi="Times New Roman" w:cs="Times New Roman"/>
          <w:i/>
          <w:sz w:val="20"/>
          <w:szCs w:val="20"/>
          <w:lang w:val="en-US"/>
        </w:rPr>
        <w:t>p</w:t>
      </w:r>
      <w:r w:rsidR="004E66C3" w:rsidRPr="0035095E">
        <w:rPr>
          <w:rFonts w:ascii="Times New Roman" w:hAnsi="Times New Roman" w:cs="Times New Roman"/>
          <w:sz w:val="20"/>
          <w:szCs w:val="20"/>
          <w:lang w:val="en-US"/>
        </w:rPr>
        <w:t>-value</w:t>
      </w:r>
      <w:r w:rsidR="00710220" w:rsidRPr="0035095E">
        <w:rPr>
          <w:rFonts w:ascii="Times New Roman" w:hAnsi="Times New Roman" w:cs="Times New Roman"/>
          <w:sz w:val="20"/>
          <w:szCs w:val="20"/>
          <w:lang w:val="en-US"/>
        </w:rPr>
        <w:t xml:space="preserve"> </w:t>
      </w:r>
      <w:r w:rsidR="004E66C3" w:rsidRPr="0035095E">
        <w:rPr>
          <w:rFonts w:ascii="Times New Roman" w:hAnsi="Times New Roman" w:cs="Times New Roman"/>
          <w:sz w:val="20"/>
          <w:szCs w:val="20"/>
          <w:lang w:val="en-US"/>
        </w:rPr>
        <w:t>=</w:t>
      </w:r>
      <w:r w:rsidR="00710220" w:rsidRPr="0035095E">
        <w:rPr>
          <w:rFonts w:ascii="Times New Roman" w:hAnsi="Times New Roman" w:cs="Times New Roman"/>
          <w:sz w:val="20"/>
          <w:szCs w:val="20"/>
          <w:lang w:val="en-US"/>
        </w:rPr>
        <w:t xml:space="preserve"> </w:t>
      </w:r>
      <w:r w:rsidR="004E66C3" w:rsidRPr="0035095E">
        <w:rPr>
          <w:rFonts w:ascii="Times New Roman" w:hAnsi="Times New Roman" w:cs="Times New Roman"/>
          <w:sz w:val="20"/>
          <w:szCs w:val="20"/>
          <w:lang w:val="en-US"/>
        </w:rPr>
        <w:t>0.</w:t>
      </w:r>
      <w:r w:rsidR="00996CBE" w:rsidRPr="0035095E">
        <w:rPr>
          <w:rFonts w:ascii="Times New Roman" w:hAnsi="Times New Roman" w:cs="Times New Roman"/>
          <w:sz w:val="20"/>
          <w:szCs w:val="20"/>
          <w:lang w:val="en-US"/>
        </w:rPr>
        <w:t>05</w:t>
      </w:r>
      <w:r w:rsidR="004E66C3" w:rsidRPr="0035095E">
        <w:rPr>
          <w:rFonts w:ascii="Times New Roman" w:hAnsi="Times New Roman" w:cs="Times New Roman"/>
          <w:sz w:val="20"/>
          <w:szCs w:val="20"/>
          <w:lang w:val="en-US"/>
        </w:rPr>
        <w:t>)</w:t>
      </w:r>
      <w:r w:rsidR="0071255D" w:rsidRPr="0035095E">
        <w:rPr>
          <w:rFonts w:ascii="Times New Roman" w:hAnsi="Times New Roman" w:cs="Times New Roman"/>
          <w:sz w:val="20"/>
          <w:szCs w:val="20"/>
          <w:lang w:val="en-US"/>
        </w:rPr>
        <w:t xml:space="preserve">. Participants’ household income is </w:t>
      </w:r>
      <w:r w:rsidR="00711A67" w:rsidRPr="0035095E">
        <w:rPr>
          <w:rFonts w:ascii="Times New Roman" w:hAnsi="Times New Roman" w:cs="Times New Roman"/>
          <w:sz w:val="20"/>
          <w:szCs w:val="20"/>
          <w:lang w:val="en-US"/>
        </w:rPr>
        <w:t xml:space="preserve">negatively </w:t>
      </w:r>
      <w:r w:rsidR="0071255D" w:rsidRPr="0035095E">
        <w:rPr>
          <w:rFonts w:ascii="Times New Roman" w:hAnsi="Times New Roman" w:cs="Times New Roman"/>
          <w:sz w:val="20"/>
          <w:szCs w:val="20"/>
          <w:lang w:val="en-US"/>
        </w:rPr>
        <w:t xml:space="preserve">associated with </w:t>
      </w:r>
      <w:proofErr w:type="spellStart"/>
      <w:r w:rsidR="00711A67" w:rsidRPr="0035095E">
        <w:rPr>
          <w:rFonts w:ascii="Times New Roman" w:hAnsi="Times New Roman" w:cs="Times New Roman"/>
          <w:i/>
          <w:sz w:val="20"/>
          <w:szCs w:val="20"/>
          <w:lang w:val="en-US"/>
        </w:rPr>
        <w:t>ProfFile</w:t>
      </w:r>
      <w:proofErr w:type="spellEnd"/>
      <w:r w:rsidR="00711A67" w:rsidRPr="0035095E">
        <w:rPr>
          <w:rFonts w:ascii="Times New Roman" w:hAnsi="Times New Roman" w:cs="Times New Roman"/>
          <w:sz w:val="20"/>
          <w:szCs w:val="20"/>
          <w:lang w:val="en-US"/>
        </w:rPr>
        <w:t xml:space="preserve">, and </w:t>
      </w:r>
      <w:r w:rsidR="0071255D" w:rsidRPr="0035095E">
        <w:rPr>
          <w:rFonts w:ascii="Times New Roman" w:hAnsi="Times New Roman" w:cs="Times New Roman"/>
          <w:sz w:val="20"/>
          <w:szCs w:val="20"/>
          <w:lang w:val="en-US"/>
        </w:rPr>
        <w:t xml:space="preserve">positively associated with </w:t>
      </w:r>
      <w:proofErr w:type="spellStart"/>
      <w:r w:rsidR="00B70190" w:rsidRPr="0035095E">
        <w:rPr>
          <w:rFonts w:ascii="Times New Roman" w:hAnsi="Times New Roman" w:cs="Times New Roman"/>
          <w:i/>
          <w:sz w:val="20"/>
          <w:szCs w:val="20"/>
          <w:lang w:val="en-US"/>
        </w:rPr>
        <w:t>ParentFile</w:t>
      </w:r>
      <w:proofErr w:type="spellEnd"/>
      <w:r w:rsidR="0071255D" w:rsidRPr="0035095E">
        <w:rPr>
          <w:rFonts w:ascii="Times New Roman" w:hAnsi="Times New Roman" w:cs="Times New Roman"/>
          <w:sz w:val="20"/>
          <w:szCs w:val="20"/>
          <w:lang w:val="en-US"/>
        </w:rPr>
        <w:t xml:space="preserve">. Having a CPA in the immediate family </w:t>
      </w:r>
      <w:r w:rsidR="00B70190" w:rsidRPr="0035095E">
        <w:rPr>
          <w:rFonts w:ascii="Times New Roman" w:hAnsi="Times New Roman" w:cs="Times New Roman"/>
          <w:sz w:val="20"/>
          <w:szCs w:val="20"/>
          <w:lang w:val="en-US"/>
        </w:rPr>
        <w:t>(</w:t>
      </w:r>
      <w:r w:rsidR="00B70190" w:rsidRPr="0035095E">
        <w:rPr>
          <w:rFonts w:ascii="Times New Roman" w:hAnsi="Times New Roman" w:cs="Times New Roman"/>
          <w:i/>
          <w:sz w:val="20"/>
          <w:szCs w:val="20"/>
          <w:lang w:val="en-US"/>
        </w:rPr>
        <w:t>Family</w:t>
      </w:r>
      <w:r w:rsidR="00B70190" w:rsidRPr="0035095E">
        <w:rPr>
          <w:rFonts w:ascii="Times New Roman" w:hAnsi="Times New Roman" w:cs="Times New Roman"/>
          <w:sz w:val="20"/>
          <w:szCs w:val="20"/>
          <w:lang w:val="en-US"/>
        </w:rPr>
        <w:t xml:space="preserve">) </w:t>
      </w:r>
      <w:r w:rsidR="0071255D" w:rsidRPr="0035095E">
        <w:rPr>
          <w:rFonts w:ascii="Times New Roman" w:hAnsi="Times New Roman" w:cs="Times New Roman"/>
          <w:sz w:val="20"/>
          <w:szCs w:val="20"/>
          <w:lang w:val="en-US"/>
        </w:rPr>
        <w:t xml:space="preserve">does not seem to be associated with participants’ financial </w:t>
      </w:r>
      <w:r w:rsidR="00A13A69" w:rsidRPr="0035095E">
        <w:rPr>
          <w:rFonts w:ascii="Times New Roman" w:hAnsi="Times New Roman" w:cs="Times New Roman"/>
          <w:sz w:val="20"/>
          <w:szCs w:val="20"/>
          <w:lang w:val="en-US"/>
        </w:rPr>
        <w:t xml:space="preserve">or tax filing </w:t>
      </w:r>
      <w:r w:rsidR="0071255D" w:rsidRPr="0035095E">
        <w:rPr>
          <w:rFonts w:ascii="Times New Roman" w:hAnsi="Times New Roman" w:cs="Times New Roman"/>
          <w:sz w:val="20"/>
          <w:szCs w:val="20"/>
          <w:lang w:val="en-US"/>
        </w:rPr>
        <w:t>experience</w:t>
      </w:r>
      <w:r w:rsidR="000D5B43" w:rsidRPr="0035095E">
        <w:rPr>
          <w:rFonts w:ascii="Times New Roman" w:hAnsi="Times New Roman" w:cs="Times New Roman"/>
          <w:sz w:val="20"/>
          <w:szCs w:val="20"/>
          <w:lang w:val="en-US"/>
        </w:rPr>
        <w:t>s</w:t>
      </w:r>
      <w:r w:rsidR="0071255D" w:rsidRPr="0035095E">
        <w:rPr>
          <w:rFonts w:ascii="Times New Roman" w:hAnsi="Times New Roman" w:cs="Times New Roman"/>
          <w:sz w:val="20"/>
          <w:szCs w:val="20"/>
          <w:lang w:val="en-US"/>
        </w:rPr>
        <w:t>.</w:t>
      </w:r>
      <w:r w:rsidR="00CB7FF6">
        <w:rPr>
          <w:rFonts w:ascii="Times New Roman" w:hAnsi="Times New Roman" w:cs="Times New Roman"/>
          <w:sz w:val="20"/>
          <w:szCs w:val="20"/>
          <w:lang w:val="en-US"/>
        </w:rPr>
        <w:t xml:space="preserve">  </w:t>
      </w:r>
    </w:p>
    <w:p w14:paraId="30B0A609" w14:textId="77777777" w:rsidR="009E70F1" w:rsidRPr="0035095E" w:rsidRDefault="009E70F1" w:rsidP="00C45D4F">
      <w:pPr>
        <w:rPr>
          <w:rFonts w:ascii="Times New Roman" w:hAnsi="Times New Roman" w:cs="Times New Roman"/>
          <w:sz w:val="20"/>
          <w:szCs w:val="20"/>
          <w:lang w:val="en-US"/>
        </w:rPr>
      </w:pPr>
    </w:p>
    <w:p w14:paraId="7065E1DC" w14:textId="45932AE6" w:rsidR="0071255D" w:rsidRDefault="0071255D" w:rsidP="00C45D4F">
      <w:pPr>
        <w:rPr>
          <w:rFonts w:ascii="Times New Roman" w:hAnsi="Times New Roman" w:cs="Times New Roman"/>
          <w:sz w:val="20"/>
          <w:szCs w:val="20"/>
          <w:lang w:val="en-US"/>
        </w:rPr>
      </w:pPr>
      <w:r w:rsidRPr="0035095E">
        <w:rPr>
          <w:rFonts w:ascii="Times New Roman" w:hAnsi="Times New Roman" w:cs="Times New Roman"/>
          <w:sz w:val="20"/>
          <w:szCs w:val="20"/>
          <w:lang w:val="en-US"/>
        </w:rPr>
        <w:t>Table 4 presents the average score</w:t>
      </w:r>
      <w:r w:rsidR="009519B5" w:rsidRPr="0035095E">
        <w:rPr>
          <w:rFonts w:ascii="Times New Roman" w:hAnsi="Times New Roman" w:cs="Times New Roman"/>
          <w:sz w:val="20"/>
          <w:szCs w:val="20"/>
          <w:lang w:val="en-US"/>
        </w:rPr>
        <w:t>s</w:t>
      </w:r>
      <w:r w:rsidRPr="0035095E">
        <w:rPr>
          <w:rFonts w:ascii="Times New Roman" w:hAnsi="Times New Roman" w:cs="Times New Roman"/>
          <w:sz w:val="20"/>
          <w:szCs w:val="20"/>
          <w:lang w:val="en-US"/>
        </w:rPr>
        <w:t xml:space="preserve"> of the survey participants’ financial and tax literacy. </w:t>
      </w:r>
      <w:proofErr w:type="spellStart"/>
      <w:r w:rsidR="00430286" w:rsidRPr="0035095E">
        <w:rPr>
          <w:rFonts w:ascii="Times New Roman" w:hAnsi="Times New Roman" w:cs="Times New Roman"/>
          <w:i/>
          <w:iCs/>
          <w:sz w:val="20"/>
          <w:szCs w:val="20"/>
          <w:lang w:val="en-US"/>
        </w:rPr>
        <w:t>FinLit</w:t>
      </w:r>
      <w:proofErr w:type="spellEnd"/>
      <w:r w:rsidR="00430286" w:rsidRPr="0035095E">
        <w:rPr>
          <w:rFonts w:ascii="Times New Roman" w:hAnsi="Times New Roman" w:cs="Times New Roman"/>
          <w:i/>
          <w:iCs/>
          <w:sz w:val="20"/>
          <w:szCs w:val="20"/>
          <w:lang w:val="en-US"/>
        </w:rPr>
        <w:t xml:space="preserve"> </w:t>
      </w:r>
      <w:r w:rsidRPr="0035095E">
        <w:rPr>
          <w:rFonts w:ascii="Times New Roman" w:hAnsi="Times New Roman" w:cs="Times New Roman"/>
          <w:sz w:val="20"/>
          <w:szCs w:val="20"/>
          <w:lang w:val="en-US"/>
        </w:rPr>
        <w:t>and tax literacy score</w:t>
      </w:r>
      <w:r w:rsidR="00430286" w:rsidRPr="0035095E">
        <w:rPr>
          <w:rFonts w:ascii="Times New Roman" w:hAnsi="Times New Roman" w:cs="Times New Roman"/>
          <w:sz w:val="20"/>
          <w:szCs w:val="20"/>
          <w:lang w:val="en-US"/>
        </w:rPr>
        <w:t xml:space="preserve"> (</w:t>
      </w:r>
      <w:proofErr w:type="spellStart"/>
      <w:r w:rsidR="00430286" w:rsidRPr="0035095E">
        <w:rPr>
          <w:rFonts w:ascii="Times New Roman" w:hAnsi="Times New Roman" w:cs="Times New Roman"/>
          <w:i/>
          <w:iCs/>
          <w:sz w:val="20"/>
          <w:szCs w:val="20"/>
          <w:lang w:val="en-US"/>
        </w:rPr>
        <w:t>TaxLit</w:t>
      </w:r>
      <w:proofErr w:type="spellEnd"/>
      <w:r w:rsidR="00430286" w:rsidRPr="0035095E">
        <w:rPr>
          <w:rFonts w:ascii="Times New Roman" w:hAnsi="Times New Roman" w:cs="Times New Roman"/>
          <w:sz w:val="20"/>
          <w:szCs w:val="20"/>
          <w:lang w:val="en-US"/>
        </w:rPr>
        <w:t>)</w:t>
      </w:r>
      <w:r w:rsidRPr="0035095E">
        <w:rPr>
          <w:rFonts w:ascii="Times New Roman" w:hAnsi="Times New Roman" w:cs="Times New Roman"/>
          <w:sz w:val="20"/>
          <w:szCs w:val="20"/>
          <w:lang w:val="en-US"/>
        </w:rPr>
        <w:t xml:space="preserve"> </w:t>
      </w:r>
      <w:r w:rsidR="009074DF" w:rsidRPr="0035095E">
        <w:rPr>
          <w:rFonts w:ascii="Times New Roman" w:hAnsi="Times New Roman" w:cs="Times New Roman"/>
          <w:sz w:val="20"/>
          <w:szCs w:val="20"/>
          <w:lang w:val="en-US"/>
        </w:rPr>
        <w:t>are</w:t>
      </w:r>
      <w:r w:rsidRPr="0035095E">
        <w:rPr>
          <w:rFonts w:ascii="Times New Roman" w:hAnsi="Times New Roman" w:cs="Times New Roman"/>
          <w:sz w:val="20"/>
          <w:szCs w:val="20"/>
          <w:lang w:val="en-US"/>
        </w:rPr>
        <w:t xml:space="preserve"> calculated as the number of FQs and TQs that participants answer correctly, divided by the total number of FQs and TQs, respectively. </w:t>
      </w:r>
      <w:r w:rsidR="0081679E" w:rsidRPr="0035095E">
        <w:rPr>
          <w:rFonts w:ascii="Times New Roman" w:hAnsi="Times New Roman" w:cs="Times New Roman"/>
          <w:sz w:val="20"/>
          <w:szCs w:val="20"/>
          <w:lang w:val="en-US"/>
        </w:rPr>
        <w:t>Questions with missing values are considered incorrect.</w:t>
      </w:r>
      <w:r w:rsidR="000E6E91" w:rsidRPr="00CB7FF6">
        <w:rPr>
          <w:rStyle w:val="FootnoteReference"/>
          <w:rFonts w:ascii="Times New Roman" w:hAnsi="Times New Roman" w:cs="Times New Roman"/>
          <w:sz w:val="20"/>
          <w:szCs w:val="20"/>
          <w:lang w:val="en-US"/>
        </w:rPr>
        <w:footnoteReference w:id="8"/>
      </w:r>
      <w:r w:rsidR="0081679E" w:rsidRPr="00CB7FF6">
        <w:rPr>
          <w:rFonts w:ascii="Times New Roman" w:hAnsi="Times New Roman" w:cs="Times New Roman"/>
          <w:sz w:val="20"/>
          <w:szCs w:val="20"/>
          <w:lang w:val="en-US"/>
        </w:rPr>
        <w:t xml:space="preserve"> </w:t>
      </w:r>
      <w:r w:rsidRPr="00CB7FF6">
        <w:rPr>
          <w:rFonts w:ascii="Times New Roman" w:hAnsi="Times New Roman" w:cs="Times New Roman"/>
          <w:sz w:val="20"/>
          <w:szCs w:val="20"/>
          <w:lang w:val="en-US"/>
        </w:rPr>
        <w:t xml:space="preserve">Therefore, a score above 0.5 suggests that more than 50% of the questions </w:t>
      </w:r>
      <w:r w:rsidR="009074DF" w:rsidRPr="00CB7FF6">
        <w:rPr>
          <w:rFonts w:ascii="Times New Roman" w:hAnsi="Times New Roman" w:cs="Times New Roman"/>
          <w:sz w:val="20"/>
          <w:szCs w:val="20"/>
          <w:lang w:val="en-US"/>
        </w:rPr>
        <w:t>are</w:t>
      </w:r>
      <w:r w:rsidRPr="00CB7FF6">
        <w:rPr>
          <w:rFonts w:ascii="Times New Roman" w:hAnsi="Times New Roman" w:cs="Times New Roman"/>
          <w:sz w:val="20"/>
          <w:szCs w:val="20"/>
          <w:lang w:val="en-US"/>
        </w:rPr>
        <w:t xml:space="preserve"> answered correctly by the participants. Table 3 indicates that, on average, participants </w:t>
      </w:r>
      <w:proofErr w:type="gramStart"/>
      <w:r w:rsidR="009074DF" w:rsidRPr="00CB7FF6">
        <w:rPr>
          <w:rFonts w:ascii="Times New Roman" w:hAnsi="Times New Roman" w:cs="Times New Roman"/>
          <w:sz w:val="20"/>
          <w:szCs w:val="20"/>
          <w:lang w:val="en-US"/>
        </w:rPr>
        <w:t>are</w:t>
      </w:r>
      <w:r w:rsidRPr="00CB7FF6">
        <w:rPr>
          <w:rFonts w:ascii="Times New Roman" w:hAnsi="Times New Roman" w:cs="Times New Roman"/>
          <w:sz w:val="20"/>
          <w:szCs w:val="20"/>
          <w:lang w:val="en-US"/>
        </w:rPr>
        <w:t xml:space="preserve"> able to</w:t>
      </w:r>
      <w:proofErr w:type="gramEnd"/>
      <w:r w:rsidRPr="00CB7FF6">
        <w:rPr>
          <w:rFonts w:ascii="Times New Roman" w:hAnsi="Times New Roman" w:cs="Times New Roman"/>
          <w:sz w:val="20"/>
          <w:szCs w:val="20"/>
          <w:lang w:val="en-US"/>
        </w:rPr>
        <w:t xml:space="preserve"> answer more than 50% of the FQs correctly. However, the wide difference between the mean (0.</w:t>
      </w:r>
      <w:r w:rsidR="00996CBE" w:rsidRPr="00CB7FF6">
        <w:rPr>
          <w:rFonts w:ascii="Times New Roman" w:hAnsi="Times New Roman" w:cs="Times New Roman"/>
          <w:sz w:val="20"/>
          <w:szCs w:val="20"/>
          <w:lang w:val="en-US"/>
        </w:rPr>
        <w:t>69</w:t>
      </w:r>
      <w:r w:rsidRPr="00CB7FF6">
        <w:rPr>
          <w:rFonts w:ascii="Times New Roman" w:hAnsi="Times New Roman" w:cs="Times New Roman"/>
          <w:sz w:val="20"/>
          <w:szCs w:val="20"/>
          <w:lang w:val="en-US"/>
        </w:rPr>
        <w:t>) and the median (0.80) of financial literacy scores suggests that some students score significantly lower on financial literacy compared to other students.</w:t>
      </w:r>
      <w:r w:rsidR="00CB7FF6">
        <w:rPr>
          <w:rFonts w:ascii="Times New Roman" w:hAnsi="Times New Roman" w:cs="Times New Roman"/>
          <w:sz w:val="20"/>
          <w:szCs w:val="20"/>
          <w:lang w:val="en-US"/>
        </w:rPr>
        <w:t xml:space="preserve">  </w:t>
      </w:r>
    </w:p>
    <w:p w14:paraId="2BF7954A" w14:textId="77777777" w:rsidR="00CB7FF6" w:rsidRDefault="00CB7FF6" w:rsidP="00C45D4F">
      <w:pPr>
        <w:rPr>
          <w:rFonts w:ascii="Times New Roman" w:hAnsi="Times New Roman" w:cs="Times New Roman"/>
          <w:sz w:val="20"/>
          <w:szCs w:val="20"/>
          <w:lang w:val="en-US"/>
        </w:rPr>
      </w:pPr>
    </w:p>
    <w:p w14:paraId="007770E0" w14:textId="22D9F300" w:rsidR="006C34B4" w:rsidRDefault="006C34B4" w:rsidP="00C45D4F">
      <w:pPr>
        <w:rPr>
          <w:rFonts w:ascii="Times New Roman" w:hAnsi="Times New Roman" w:cs="Times New Roman"/>
          <w:sz w:val="20"/>
          <w:szCs w:val="20"/>
          <w:lang w:val="en-US"/>
        </w:rPr>
      </w:pPr>
      <w:r w:rsidRPr="00CB7FF6">
        <w:rPr>
          <w:rFonts w:ascii="Times New Roman" w:hAnsi="Times New Roman" w:cs="Times New Roman"/>
          <w:sz w:val="20"/>
          <w:szCs w:val="20"/>
          <w:lang w:val="en-US"/>
        </w:rPr>
        <w:lastRenderedPageBreak/>
        <w:t xml:space="preserve">The mean tax literacy score </w:t>
      </w:r>
      <w:r w:rsidR="00CD6D32" w:rsidRPr="00CB7FF6">
        <w:rPr>
          <w:rFonts w:ascii="Times New Roman" w:hAnsi="Times New Roman" w:cs="Times New Roman"/>
          <w:color w:val="000000" w:themeColor="text1"/>
          <w:sz w:val="20"/>
          <w:szCs w:val="20"/>
          <w:lang w:val="en-US"/>
        </w:rPr>
        <w:t>i</w:t>
      </w:r>
      <w:r w:rsidR="00CF2DD7" w:rsidRPr="00CB7FF6">
        <w:rPr>
          <w:rFonts w:ascii="Times New Roman" w:hAnsi="Times New Roman" w:cs="Times New Roman"/>
          <w:color w:val="000000" w:themeColor="text1"/>
          <w:sz w:val="20"/>
          <w:szCs w:val="20"/>
          <w:lang w:val="en-US"/>
        </w:rPr>
        <w:t xml:space="preserve">s </w:t>
      </w:r>
      <w:r w:rsidRPr="00CB7FF6">
        <w:rPr>
          <w:rFonts w:ascii="Times New Roman" w:hAnsi="Times New Roman" w:cs="Times New Roman"/>
          <w:color w:val="000000" w:themeColor="text1"/>
          <w:sz w:val="20"/>
          <w:szCs w:val="20"/>
          <w:lang w:val="en-US"/>
        </w:rPr>
        <w:t>0.</w:t>
      </w:r>
      <w:r w:rsidR="00996CBE" w:rsidRPr="00CB7FF6">
        <w:rPr>
          <w:rFonts w:ascii="Times New Roman" w:hAnsi="Times New Roman" w:cs="Times New Roman"/>
          <w:color w:val="000000" w:themeColor="text1"/>
          <w:sz w:val="20"/>
          <w:szCs w:val="20"/>
          <w:lang w:val="en-US"/>
        </w:rPr>
        <w:t>46</w:t>
      </w:r>
      <w:r w:rsidR="00CF2DD7" w:rsidRPr="00CB7FF6">
        <w:rPr>
          <w:rFonts w:ascii="Times New Roman" w:hAnsi="Times New Roman" w:cs="Times New Roman"/>
          <w:color w:val="000000" w:themeColor="text1"/>
          <w:sz w:val="20"/>
          <w:szCs w:val="20"/>
          <w:lang w:val="en-US"/>
        </w:rPr>
        <w:t>,</w:t>
      </w:r>
      <w:r w:rsidRPr="00CB7FF6">
        <w:rPr>
          <w:rFonts w:ascii="Times New Roman" w:hAnsi="Times New Roman" w:cs="Times New Roman"/>
          <w:color w:val="000000" w:themeColor="text1"/>
          <w:sz w:val="20"/>
          <w:szCs w:val="20"/>
          <w:lang w:val="en-US"/>
        </w:rPr>
        <w:t xml:space="preserve"> while the median </w:t>
      </w:r>
      <w:r w:rsidR="00CD6D32" w:rsidRPr="00CB7FF6">
        <w:rPr>
          <w:rFonts w:ascii="Times New Roman" w:hAnsi="Times New Roman" w:cs="Times New Roman"/>
          <w:color w:val="000000" w:themeColor="text1"/>
          <w:sz w:val="20"/>
          <w:szCs w:val="20"/>
          <w:lang w:val="en-US"/>
        </w:rPr>
        <w:t>i</w:t>
      </w:r>
      <w:r w:rsidR="00CF2DD7" w:rsidRPr="00CB7FF6">
        <w:rPr>
          <w:rFonts w:ascii="Times New Roman" w:hAnsi="Times New Roman" w:cs="Times New Roman"/>
          <w:color w:val="000000" w:themeColor="text1"/>
          <w:sz w:val="20"/>
          <w:szCs w:val="20"/>
          <w:lang w:val="en-US"/>
        </w:rPr>
        <w:t xml:space="preserve">s </w:t>
      </w:r>
      <w:r w:rsidRPr="00CB7FF6">
        <w:rPr>
          <w:rFonts w:ascii="Times New Roman" w:hAnsi="Times New Roman" w:cs="Times New Roman"/>
          <w:color w:val="000000" w:themeColor="text1"/>
          <w:sz w:val="20"/>
          <w:szCs w:val="20"/>
          <w:lang w:val="en-US"/>
        </w:rPr>
        <w:t>0.43, suggesting that</w:t>
      </w:r>
      <w:r w:rsidR="00CF2DD7" w:rsidRPr="00CB7FF6">
        <w:rPr>
          <w:rFonts w:ascii="Times New Roman" w:hAnsi="Times New Roman" w:cs="Times New Roman"/>
          <w:color w:val="000000" w:themeColor="text1"/>
          <w:sz w:val="20"/>
          <w:szCs w:val="20"/>
          <w:lang w:val="en-US"/>
        </w:rPr>
        <w:t>,</w:t>
      </w:r>
      <w:r w:rsidRPr="00CB7FF6">
        <w:rPr>
          <w:rFonts w:ascii="Times New Roman" w:hAnsi="Times New Roman" w:cs="Times New Roman"/>
          <w:color w:val="000000" w:themeColor="text1"/>
          <w:sz w:val="20"/>
          <w:szCs w:val="20"/>
          <w:lang w:val="en-US"/>
        </w:rPr>
        <w:t xml:space="preserve"> on average, participants in this surve</w:t>
      </w:r>
      <w:r w:rsidRPr="00CB7FF6">
        <w:rPr>
          <w:rFonts w:ascii="Times New Roman" w:hAnsi="Times New Roman" w:cs="Times New Roman"/>
          <w:sz w:val="20"/>
          <w:szCs w:val="20"/>
          <w:lang w:val="en-US"/>
        </w:rPr>
        <w:t xml:space="preserve">y </w:t>
      </w:r>
      <w:r w:rsidR="00CD6D32" w:rsidRPr="00CB7FF6">
        <w:rPr>
          <w:rFonts w:ascii="Times New Roman" w:hAnsi="Times New Roman" w:cs="Times New Roman"/>
          <w:sz w:val="20"/>
          <w:szCs w:val="20"/>
          <w:lang w:val="en-US"/>
        </w:rPr>
        <w:t>are</w:t>
      </w:r>
      <w:r w:rsidR="00CF2DD7" w:rsidRPr="00CB7FF6">
        <w:rPr>
          <w:rFonts w:ascii="Times New Roman" w:hAnsi="Times New Roman" w:cs="Times New Roman"/>
          <w:sz w:val="20"/>
          <w:szCs w:val="20"/>
          <w:lang w:val="en-US"/>
        </w:rPr>
        <w:t xml:space="preserve"> </w:t>
      </w:r>
      <w:r w:rsidRPr="00CB7FF6">
        <w:rPr>
          <w:rFonts w:ascii="Times New Roman" w:hAnsi="Times New Roman" w:cs="Times New Roman"/>
          <w:sz w:val="20"/>
          <w:szCs w:val="20"/>
          <w:lang w:val="en-US"/>
        </w:rPr>
        <w:t xml:space="preserve">not able to answer more than 50% of the </w:t>
      </w:r>
      <w:r w:rsidR="00A32F0C" w:rsidRPr="00CB7FF6">
        <w:rPr>
          <w:rFonts w:ascii="Times New Roman" w:hAnsi="Times New Roman" w:cs="Times New Roman"/>
          <w:sz w:val="20"/>
          <w:szCs w:val="20"/>
          <w:lang w:val="en-US"/>
        </w:rPr>
        <w:t>TQs</w:t>
      </w:r>
      <w:r w:rsidRPr="00CB7FF6">
        <w:rPr>
          <w:rFonts w:ascii="Times New Roman" w:hAnsi="Times New Roman" w:cs="Times New Roman"/>
          <w:sz w:val="20"/>
          <w:szCs w:val="20"/>
          <w:lang w:val="en-US"/>
        </w:rPr>
        <w:t xml:space="preserve"> correctly, and the low tax literacy score </w:t>
      </w:r>
      <w:r w:rsidR="00CF2DD7" w:rsidRPr="00CB7FF6">
        <w:rPr>
          <w:rFonts w:ascii="Times New Roman" w:hAnsi="Times New Roman" w:cs="Times New Roman"/>
          <w:sz w:val="20"/>
          <w:szCs w:val="20"/>
          <w:lang w:val="en-US"/>
        </w:rPr>
        <w:t>d</w:t>
      </w:r>
      <w:r w:rsidR="00CD6D32" w:rsidRPr="00CB7FF6">
        <w:rPr>
          <w:rFonts w:ascii="Times New Roman" w:hAnsi="Times New Roman" w:cs="Times New Roman"/>
          <w:sz w:val="20"/>
          <w:szCs w:val="20"/>
          <w:lang w:val="en-US"/>
        </w:rPr>
        <w:t>oes</w:t>
      </w:r>
      <w:r w:rsidR="00CF2DD7" w:rsidRPr="00CB7FF6">
        <w:rPr>
          <w:rFonts w:ascii="Times New Roman" w:hAnsi="Times New Roman" w:cs="Times New Roman"/>
          <w:sz w:val="20"/>
          <w:szCs w:val="20"/>
          <w:lang w:val="en-US"/>
        </w:rPr>
        <w:t xml:space="preserve"> </w:t>
      </w:r>
      <w:r w:rsidRPr="00CB7FF6">
        <w:rPr>
          <w:rFonts w:ascii="Times New Roman" w:hAnsi="Times New Roman" w:cs="Times New Roman"/>
          <w:sz w:val="20"/>
          <w:szCs w:val="20"/>
          <w:lang w:val="en-US"/>
        </w:rPr>
        <w:t>not seem to be driven by outliers.</w:t>
      </w:r>
      <w:r w:rsidR="00CB7FF6">
        <w:rPr>
          <w:rFonts w:ascii="Times New Roman" w:hAnsi="Times New Roman" w:cs="Times New Roman"/>
          <w:sz w:val="20"/>
          <w:szCs w:val="20"/>
          <w:lang w:val="en-US"/>
        </w:rPr>
        <w:t xml:space="preserve">  </w:t>
      </w:r>
    </w:p>
    <w:p w14:paraId="752584F3" w14:textId="77777777" w:rsidR="00CB7FF6" w:rsidRPr="00CB7FF6" w:rsidRDefault="00CB7FF6" w:rsidP="00C45D4F">
      <w:pPr>
        <w:rPr>
          <w:rFonts w:ascii="Times New Roman" w:hAnsi="Times New Roman" w:cs="Times New Roman"/>
          <w:sz w:val="20"/>
          <w:szCs w:val="20"/>
          <w:lang w:val="en-US"/>
        </w:rPr>
      </w:pPr>
    </w:p>
    <w:p w14:paraId="2AA891A8" w14:textId="4E956D97" w:rsidR="0079245D" w:rsidRDefault="00AA5659" w:rsidP="00C45D4F">
      <w:pPr>
        <w:rPr>
          <w:rFonts w:ascii="Times New Roman" w:hAnsi="Times New Roman" w:cs="Times New Roman"/>
          <w:sz w:val="20"/>
          <w:szCs w:val="20"/>
          <w:lang w:val="en-US"/>
        </w:rPr>
      </w:pPr>
      <w:r w:rsidRPr="00CB7FF6">
        <w:rPr>
          <w:rFonts w:ascii="Times New Roman" w:hAnsi="Times New Roman" w:cs="Times New Roman"/>
          <w:sz w:val="20"/>
          <w:szCs w:val="20"/>
          <w:lang w:val="en-US"/>
        </w:rPr>
        <w:t>The survey solicit</w:t>
      </w:r>
      <w:r w:rsidR="00CD6D32" w:rsidRPr="00CB7FF6">
        <w:rPr>
          <w:rFonts w:ascii="Times New Roman" w:hAnsi="Times New Roman" w:cs="Times New Roman"/>
          <w:sz w:val="20"/>
          <w:szCs w:val="20"/>
          <w:lang w:val="en-US"/>
        </w:rPr>
        <w:t>s</w:t>
      </w:r>
      <w:r w:rsidRPr="00CB7FF6">
        <w:rPr>
          <w:rFonts w:ascii="Times New Roman" w:hAnsi="Times New Roman" w:cs="Times New Roman"/>
          <w:sz w:val="20"/>
          <w:szCs w:val="20"/>
          <w:lang w:val="en-US"/>
        </w:rPr>
        <w:t xml:space="preserve"> </w:t>
      </w:r>
      <w:proofErr w:type="gramStart"/>
      <w:r w:rsidRPr="00CB7FF6">
        <w:rPr>
          <w:rFonts w:ascii="Times New Roman" w:hAnsi="Times New Roman" w:cs="Times New Roman"/>
          <w:sz w:val="20"/>
          <w:szCs w:val="20"/>
          <w:lang w:val="en-US"/>
        </w:rPr>
        <w:t>participants’</w:t>
      </w:r>
      <w:proofErr w:type="gramEnd"/>
      <w:r w:rsidRPr="00CB7FF6">
        <w:rPr>
          <w:rFonts w:ascii="Times New Roman" w:hAnsi="Times New Roman" w:cs="Times New Roman"/>
          <w:sz w:val="20"/>
          <w:szCs w:val="20"/>
          <w:lang w:val="en-US"/>
        </w:rPr>
        <w:t xml:space="preserve"> </w:t>
      </w:r>
      <w:r w:rsidR="004B727D" w:rsidRPr="00CB7FF6">
        <w:rPr>
          <w:rFonts w:ascii="Times New Roman" w:hAnsi="Times New Roman" w:cs="Times New Roman"/>
          <w:sz w:val="20"/>
          <w:szCs w:val="20"/>
          <w:lang w:val="en-US"/>
        </w:rPr>
        <w:t xml:space="preserve">perceived financial and </w:t>
      </w:r>
      <w:r w:rsidR="002D138E" w:rsidRPr="00CB7FF6">
        <w:rPr>
          <w:rFonts w:ascii="Times New Roman" w:hAnsi="Times New Roman" w:cs="Times New Roman"/>
          <w:sz w:val="20"/>
          <w:szCs w:val="20"/>
          <w:lang w:val="en-US"/>
        </w:rPr>
        <w:t xml:space="preserve">tax </w:t>
      </w:r>
      <w:r w:rsidR="004B727D" w:rsidRPr="00CB7FF6">
        <w:rPr>
          <w:rFonts w:ascii="Times New Roman" w:hAnsi="Times New Roman" w:cs="Times New Roman"/>
          <w:sz w:val="20"/>
          <w:szCs w:val="20"/>
          <w:lang w:val="en-US"/>
        </w:rPr>
        <w:t>literacy. Specifically, we ask the participants the question</w:t>
      </w:r>
      <w:r w:rsidR="00F51372" w:rsidRPr="00CB7FF6">
        <w:rPr>
          <w:rFonts w:ascii="Times New Roman" w:hAnsi="Times New Roman" w:cs="Times New Roman"/>
          <w:sz w:val="20"/>
          <w:szCs w:val="20"/>
          <w:lang w:val="en-US"/>
        </w:rPr>
        <w:t>,</w:t>
      </w:r>
      <w:r w:rsidR="004B727D" w:rsidRPr="00CB7FF6">
        <w:rPr>
          <w:rFonts w:ascii="Times New Roman" w:hAnsi="Times New Roman" w:cs="Times New Roman"/>
          <w:sz w:val="20"/>
          <w:szCs w:val="20"/>
          <w:lang w:val="en-US"/>
        </w:rPr>
        <w:t xml:space="preserve"> </w:t>
      </w:r>
      <w:r w:rsidR="0024437E" w:rsidRPr="00CB7FF6">
        <w:rPr>
          <w:rFonts w:ascii="Times New Roman" w:hAnsi="Times New Roman" w:cs="Times New Roman"/>
          <w:sz w:val="20"/>
          <w:szCs w:val="20"/>
          <w:lang w:val="en-US"/>
        </w:rPr>
        <w:t>“</w:t>
      </w:r>
      <w:r w:rsidR="004B727D" w:rsidRPr="00CB7FF6">
        <w:rPr>
          <w:rFonts w:ascii="Times New Roman" w:hAnsi="Times New Roman" w:cs="Times New Roman"/>
          <w:sz w:val="20"/>
          <w:szCs w:val="20"/>
          <w:lang w:val="en-US"/>
        </w:rPr>
        <w:t>How would you rate your knowledge of Financial (Tax) Literacy on a scale of 1 to 5</w:t>
      </w:r>
      <w:r w:rsidR="00E50E3A" w:rsidRPr="00CB7FF6">
        <w:rPr>
          <w:rFonts w:ascii="Times New Roman" w:hAnsi="Times New Roman" w:cs="Times New Roman"/>
          <w:sz w:val="20"/>
          <w:szCs w:val="20"/>
          <w:lang w:val="en-US"/>
        </w:rPr>
        <w:t>,</w:t>
      </w:r>
      <w:r w:rsidR="004B727D" w:rsidRPr="00CB7FF6">
        <w:rPr>
          <w:rFonts w:ascii="Times New Roman" w:hAnsi="Times New Roman" w:cs="Times New Roman"/>
          <w:sz w:val="20"/>
          <w:szCs w:val="20"/>
          <w:lang w:val="en-US"/>
        </w:rPr>
        <w:t xml:space="preserve"> where 1 is not at all knowledgeable and 5 is very knowledgeable?</w:t>
      </w:r>
      <w:r w:rsidR="0024437E" w:rsidRPr="00CB7FF6">
        <w:rPr>
          <w:rFonts w:ascii="Times New Roman" w:hAnsi="Times New Roman" w:cs="Times New Roman"/>
          <w:sz w:val="20"/>
          <w:szCs w:val="20"/>
          <w:lang w:val="en-US"/>
        </w:rPr>
        <w:t>”</w:t>
      </w:r>
      <w:r w:rsidR="002D138E" w:rsidRPr="00CB7FF6">
        <w:rPr>
          <w:rFonts w:ascii="Times New Roman" w:hAnsi="Times New Roman" w:cs="Times New Roman"/>
          <w:sz w:val="20"/>
          <w:szCs w:val="20"/>
          <w:lang w:val="en-US"/>
        </w:rPr>
        <w:t xml:space="preserve"> </w:t>
      </w:r>
      <w:r w:rsidRPr="00CB7FF6">
        <w:rPr>
          <w:rFonts w:ascii="Times New Roman" w:hAnsi="Times New Roman" w:cs="Times New Roman"/>
          <w:sz w:val="20"/>
          <w:szCs w:val="20"/>
          <w:lang w:val="en-US"/>
        </w:rPr>
        <w:t xml:space="preserve">Table 4 reports the financial </w:t>
      </w:r>
      <w:r w:rsidR="00655A71" w:rsidRPr="00CB7FF6">
        <w:rPr>
          <w:rFonts w:ascii="Times New Roman" w:hAnsi="Times New Roman" w:cs="Times New Roman"/>
          <w:sz w:val="20"/>
          <w:szCs w:val="20"/>
          <w:lang w:val="en-US"/>
        </w:rPr>
        <w:t xml:space="preserve">confidence </w:t>
      </w:r>
      <w:r w:rsidR="00430286" w:rsidRPr="00CB7FF6">
        <w:rPr>
          <w:rFonts w:ascii="Times New Roman" w:hAnsi="Times New Roman" w:cs="Times New Roman"/>
          <w:sz w:val="20"/>
          <w:szCs w:val="20"/>
          <w:lang w:val="en-US"/>
        </w:rPr>
        <w:t>score (</w:t>
      </w:r>
      <w:proofErr w:type="spellStart"/>
      <w:r w:rsidR="00430286" w:rsidRPr="00CB7FF6">
        <w:rPr>
          <w:rFonts w:ascii="Times New Roman" w:hAnsi="Times New Roman" w:cs="Times New Roman"/>
          <w:i/>
          <w:iCs/>
          <w:sz w:val="20"/>
          <w:szCs w:val="20"/>
          <w:lang w:val="en-US"/>
        </w:rPr>
        <w:t>FinConf</w:t>
      </w:r>
      <w:proofErr w:type="spellEnd"/>
      <w:r w:rsidR="00430286" w:rsidRPr="00CB7FF6">
        <w:rPr>
          <w:rFonts w:ascii="Times New Roman" w:hAnsi="Times New Roman" w:cs="Times New Roman"/>
          <w:sz w:val="20"/>
          <w:szCs w:val="20"/>
          <w:lang w:val="en-US"/>
        </w:rPr>
        <w:t xml:space="preserve">) </w:t>
      </w:r>
      <w:r w:rsidRPr="00CB7FF6">
        <w:rPr>
          <w:rFonts w:ascii="Times New Roman" w:hAnsi="Times New Roman" w:cs="Times New Roman"/>
          <w:sz w:val="20"/>
          <w:szCs w:val="20"/>
          <w:lang w:val="en-US"/>
        </w:rPr>
        <w:t xml:space="preserve">and tax </w:t>
      </w:r>
      <w:r w:rsidR="00E41D9A" w:rsidRPr="00CB7FF6">
        <w:rPr>
          <w:rFonts w:ascii="Times New Roman" w:hAnsi="Times New Roman" w:cs="Times New Roman"/>
          <w:sz w:val="20"/>
          <w:szCs w:val="20"/>
          <w:lang w:val="en-US"/>
        </w:rPr>
        <w:t xml:space="preserve">confidence </w:t>
      </w:r>
      <w:r w:rsidR="002D138E" w:rsidRPr="00CB7FF6">
        <w:rPr>
          <w:rFonts w:ascii="Times New Roman" w:hAnsi="Times New Roman" w:cs="Times New Roman"/>
          <w:sz w:val="20"/>
          <w:szCs w:val="20"/>
          <w:lang w:val="en-US"/>
        </w:rPr>
        <w:t>score</w:t>
      </w:r>
      <w:r w:rsidR="00430286" w:rsidRPr="00CB7FF6">
        <w:rPr>
          <w:rFonts w:ascii="Times New Roman" w:hAnsi="Times New Roman" w:cs="Times New Roman"/>
          <w:sz w:val="20"/>
          <w:szCs w:val="20"/>
          <w:lang w:val="en-US"/>
        </w:rPr>
        <w:t xml:space="preserve"> (</w:t>
      </w:r>
      <w:proofErr w:type="spellStart"/>
      <w:r w:rsidR="00430286" w:rsidRPr="00CB7FF6">
        <w:rPr>
          <w:rFonts w:ascii="Times New Roman" w:hAnsi="Times New Roman" w:cs="Times New Roman"/>
          <w:i/>
          <w:iCs/>
          <w:sz w:val="20"/>
          <w:szCs w:val="20"/>
          <w:lang w:val="en-US"/>
        </w:rPr>
        <w:t>TaxConf</w:t>
      </w:r>
      <w:proofErr w:type="spellEnd"/>
      <w:r w:rsidR="00430286" w:rsidRPr="00CB7FF6">
        <w:rPr>
          <w:rFonts w:ascii="Times New Roman" w:hAnsi="Times New Roman" w:cs="Times New Roman"/>
          <w:sz w:val="20"/>
          <w:szCs w:val="20"/>
          <w:lang w:val="en-US"/>
        </w:rPr>
        <w:t>)</w:t>
      </w:r>
      <w:r w:rsidRPr="00CB7FF6">
        <w:rPr>
          <w:rFonts w:ascii="Times New Roman" w:hAnsi="Times New Roman" w:cs="Times New Roman"/>
          <w:sz w:val="20"/>
          <w:szCs w:val="20"/>
          <w:lang w:val="en-US"/>
        </w:rPr>
        <w:t xml:space="preserve">. On average, survey participants </w:t>
      </w:r>
      <w:r w:rsidR="00CD6D32" w:rsidRPr="00CB7FF6">
        <w:rPr>
          <w:rFonts w:ascii="Times New Roman" w:hAnsi="Times New Roman" w:cs="Times New Roman"/>
          <w:sz w:val="20"/>
          <w:szCs w:val="20"/>
          <w:lang w:val="en-US"/>
        </w:rPr>
        <w:t>are</w:t>
      </w:r>
      <w:r w:rsidR="00E95412" w:rsidRPr="00CB7FF6">
        <w:rPr>
          <w:rFonts w:ascii="Times New Roman" w:hAnsi="Times New Roman" w:cs="Times New Roman"/>
          <w:sz w:val="20"/>
          <w:szCs w:val="20"/>
          <w:lang w:val="en-US"/>
        </w:rPr>
        <w:t xml:space="preserve"> </w:t>
      </w:r>
      <w:r w:rsidR="00EE7E64" w:rsidRPr="00CB7FF6">
        <w:rPr>
          <w:rFonts w:ascii="Times New Roman" w:hAnsi="Times New Roman" w:cs="Times New Roman"/>
          <w:sz w:val="20"/>
          <w:szCs w:val="20"/>
          <w:lang w:val="en-US"/>
        </w:rPr>
        <w:t>confident about their financial knowledge (mean score</w:t>
      </w:r>
      <w:r w:rsidR="00E95412" w:rsidRPr="00CB7FF6">
        <w:rPr>
          <w:rFonts w:ascii="Times New Roman" w:hAnsi="Times New Roman" w:cs="Times New Roman"/>
          <w:sz w:val="20"/>
          <w:szCs w:val="20"/>
          <w:lang w:val="en-US"/>
        </w:rPr>
        <w:t xml:space="preserve"> </w:t>
      </w:r>
      <w:r w:rsidR="00EE7E64" w:rsidRPr="00CB7FF6">
        <w:rPr>
          <w:rFonts w:ascii="Times New Roman" w:hAnsi="Times New Roman" w:cs="Times New Roman"/>
          <w:sz w:val="20"/>
          <w:szCs w:val="20"/>
          <w:lang w:val="en-US"/>
        </w:rPr>
        <w:t>=</w:t>
      </w:r>
      <w:r w:rsidR="00E95412" w:rsidRPr="00CB7FF6">
        <w:rPr>
          <w:rFonts w:ascii="Times New Roman" w:hAnsi="Times New Roman" w:cs="Times New Roman"/>
          <w:sz w:val="20"/>
          <w:szCs w:val="20"/>
          <w:lang w:val="en-US"/>
        </w:rPr>
        <w:t xml:space="preserve"> </w:t>
      </w:r>
      <w:r w:rsidR="00EE7E64" w:rsidRPr="00CB7FF6">
        <w:rPr>
          <w:rFonts w:ascii="Times New Roman" w:hAnsi="Times New Roman" w:cs="Times New Roman"/>
          <w:sz w:val="20"/>
          <w:szCs w:val="20"/>
          <w:lang w:val="en-US"/>
        </w:rPr>
        <w:t>2.</w:t>
      </w:r>
      <w:r w:rsidR="00996CBE" w:rsidRPr="00CB7FF6">
        <w:rPr>
          <w:rFonts w:ascii="Times New Roman" w:hAnsi="Times New Roman" w:cs="Times New Roman"/>
          <w:sz w:val="20"/>
          <w:szCs w:val="20"/>
          <w:lang w:val="en-US"/>
        </w:rPr>
        <w:t>99</w:t>
      </w:r>
      <w:r w:rsidR="00EE7E64" w:rsidRPr="00CB7FF6">
        <w:rPr>
          <w:rFonts w:ascii="Times New Roman" w:hAnsi="Times New Roman" w:cs="Times New Roman"/>
          <w:sz w:val="20"/>
          <w:szCs w:val="20"/>
          <w:lang w:val="en-US"/>
        </w:rPr>
        <w:t>, median</w:t>
      </w:r>
      <w:r w:rsidR="00E95412" w:rsidRPr="00CB7FF6">
        <w:rPr>
          <w:rFonts w:ascii="Times New Roman" w:hAnsi="Times New Roman" w:cs="Times New Roman"/>
          <w:sz w:val="20"/>
          <w:szCs w:val="20"/>
          <w:lang w:val="en-US"/>
        </w:rPr>
        <w:t xml:space="preserve"> </w:t>
      </w:r>
      <w:r w:rsidR="00EE7E64" w:rsidRPr="00CB7FF6">
        <w:rPr>
          <w:rFonts w:ascii="Times New Roman" w:hAnsi="Times New Roman" w:cs="Times New Roman"/>
          <w:sz w:val="20"/>
          <w:szCs w:val="20"/>
          <w:lang w:val="en-US"/>
        </w:rPr>
        <w:t>=</w:t>
      </w:r>
      <w:r w:rsidR="00E95412" w:rsidRPr="00CB7FF6">
        <w:rPr>
          <w:rFonts w:ascii="Times New Roman" w:hAnsi="Times New Roman" w:cs="Times New Roman"/>
          <w:sz w:val="20"/>
          <w:szCs w:val="20"/>
          <w:lang w:val="en-US"/>
        </w:rPr>
        <w:t xml:space="preserve"> </w:t>
      </w:r>
      <w:r w:rsidR="00EE7E64" w:rsidRPr="00CB7FF6">
        <w:rPr>
          <w:rFonts w:ascii="Times New Roman" w:hAnsi="Times New Roman" w:cs="Times New Roman"/>
          <w:sz w:val="20"/>
          <w:szCs w:val="20"/>
          <w:lang w:val="en-US"/>
        </w:rPr>
        <w:t xml:space="preserve">3.00). </w:t>
      </w:r>
      <w:r w:rsidR="0079245D" w:rsidRPr="00CB7FF6">
        <w:rPr>
          <w:rFonts w:ascii="Times New Roman" w:hAnsi="Times New Roman" w:cs="Times New Roman"/>
          <w:sz w:val="20"/>
          <w:szCs w:val="20"/>
          <w:lang w:val="en-US"/>
        </w:rPr>
        <w:t xml:space="preserve">Despite being confident about their financial knowledge, participants are not confident about their tax knowledge. Table 5 indicates that participants rate their level of tax knowledge below the mid-point (mean = </w:t>
      </w:r>
      <w:r w:rsidR="0079245D" w:rsidRPr="00CB7FF6">
        <w:rPr>
          <w:rFonts w:ascii="Times New Roman" w:hAnsi="Times New Roman" w:cs="Times New Roman"/>
          <w:color w:val="000000" w:themeColor="text1"/>
          <w:sz w:val="20"/>
          <w:szCs w:val="20"/>
          <w:lang w:val="en-US"/>
        </w:rPr>
        <w:t>2.</w:t>
      </w:r>
      <w:r w:rsidR="00996CBE" w:rsidRPr="00CB7FF6">
        <w:rPr>
          <w:rFonts w:ascii="Times New Roman" w:hAnsi="Times New Roman" w:cs="Times New Roman"/>
          <w:color w:val="000000" w:themeColor="text1"/>
          <w:sz w:val="20"/>
          <w:szCs w:val="20"/>
          <w:lang w:val="en-US"/>
        </w:rPr>
        <w:t>21</w:t>
      </w:r>
      <w:r w:rsidR="0079245D" w:rsidRPr="00CB7FF6">
        <w:rPr>
          <w:rFonts w:ascii="Times New Roman" w:hAnsi="Times New Roman" w:cs="Times New Roman"/>
          <w:sz w:val="20"/>
          <w:szCs w:val="20"/>
          <w:lang w:val="en-US"/>
        </w:rPr>
        <w:t>, median = 2.00). Our results are different from those of Lyon and Caitlin (2020), who find that adult US consumers are generally confident about their tax knowledge. The overall findings suggest that young adults are less confident of their tax knowledge than their mature counterparts.</w:t>
      </w:r>
      <w:r w:rsidR="00CB7FF6">
        <w:rPr>
          <w:rFonts w:ascii="Times New Roman" w:hAnsi="Times New Roman" w:cs="Times New Roman"/>
          <w:sz w:val="20"/>
          <w:szCs w:val="20"/>
          <w:lang w:val="en-US"/>
        </w:rPr>
        <w:t xml:space="preserve">  </w:t>
      </w:r>
    </w:p>
    <w:p w14:paraId="5758434E" w14:textId="77777777" w:rsidR="000D5B43" w:rsidRPr="00CB7FF6" w:rsidRDefault="000D5B43" w:rsidP="00C45D4F">
      <w:pPr>
        <w:rPr>
          <w:rFonts w:ascii="Times New Roman" w:hAnsi="Times New Roman" w:cs="Times New Roman"/>
          <w:sz w:val="20"/>
          <w:szCs w:val="20"/>
          <w:lang w:val="en-US"/>
        </w:rPr>
      </w:pPr>
    </w:p>
    <w:p w14:paraId="411AAB1A" w14:textId="5DC150FC" w:rsidR="00EA3DEE" w:rsidRPr="00CB7FF6" w:rsidRDefault="0036604B" w:rsidP="00C45D4F">
      <w:pPr>
        <w:rPr>
          <w:rFonts w:ascii="Times New Roman" w:hAnsi="Times New Roman" w:cs="Times New Roman"/>
          <w:b/>
          <w:sz w:val="20"/>
          <w:szCs w:val="20"/>
          <w:lang w:val="en-US"/>
        </w:rPr>
      </w:pPr>
      <w:r w:rsidRPr="00CB7FF6">
        <w:rPr>
          <w:rFonts w:ascii="Times New Roman" w:hAnsi="Times New Roman" w:cs="Times New Roman"/>
          <w:b/>
          <w:sz w:val="20"/>
          <w:szCs w:val="20"/>
          <w:lang w:val="en-US"/>
        </w:rPr>
        <w:t xml:space="preserve">Research Models and </w:t>
      </w:r>
      <w:r w:rsidR="00032CD4" w:rsidRPr="00CB7FF6">
        <w:rPr>
          <w:rFonts w:ascii="Times New Roman" w:hAnsi="Times New Roman" w:cs="Times New Roman"/>
          <w:b/>
          <w:sz w:val="20"/>
          <w:szCs w:val="20"/>
          <w:lang w:val="en-US"/>
        </w:rPr>
        <w:t xml:space="preserve">Empirical </w:t>
      </w:r>
      <w:r w:rsidR="005864DC" w:rsidRPr="00CB7FF6">
        <w:rPr>
          <w:rFonts w:ascii="Times New Roman" w:hAnsi="Times New Roman" w:cs="Times New Roman"/>
          <w:b/>
          <w:sz w:val="20"/>
          <w:szCs w:val="20"/>
          <w:lang w:val="en-US"/>
        </w:rPr>
        <w:t>Results</w:t>
      </w:r>
    </w:p>
    <w:p w14:paraId="2B8F1CCE" w14:textId="77777777" w:rsidR="00CB7FF6" w:rsidRDefault="00CB7FF6" w:rsidP="00C45D4F">
      <w:pPr>
        <w:rPr>
          <w:rFonts w:ascii="Times New Roman" w:hAnsi="Times New Roman" w:cs="Times New Roman"/>
          <w:bCs/>
          <w:sz w:val="20"/>
          <w:szCs w:val="20"/>
          <w:lang w:val="en-US"/>
        </w:rPr>
      </w:pPr>
    </w:p>
    <w:p w14:paraId="5BC45B2E" w14:textId="5129299E" w:rsidR="00EF12BE" w:rsidRDefault="0036604B" w:rsidP="00C45D4F">
      <w:pPr>
        <w:rPr>
          <w:rFonts w:ascii="Times New Roman" w:hAnsi="Times New Roman" w:cs="Times New Roman"/>
          <w:bCs/>
          <w:sz w:val="20"/>
          <w:szCs w:val="20"/>
          <w:lang w:val="en-US"/>
        </w:rPr>
      </w:pPr>
      <w:r w:rsidRPr="00CB7FF6">
        <w:rPr>
          <w:rFonts w:ascii="Times New Roman" w:hAnsi="Times New Roman" w:cs="Times New Roman"/>
          <w:bCs/>
          <w:sz w:val="20"/>
          <w:szCs w:val="20"/>
          <w:lang w:val="en-US"/>
        </w:rPr>
        <w:t xml:space="preserve">Our first hypothesis examines the association between </w:t>
      </w:r>
      <w:r w:rsidR="00112650" w:rsidRPr="00CB7FF6">
        <w:rPr>
          <w:rFonts w:ascii="Times New Roman" w:hAnsi="Times New Roman" w:cs="Times New Roman"/>
          <w:bCs/>
          <w:sz w:val="20"/>
          <w:szCs w:val="20"/>
          <w:lang w:val="en-US"/>
        </w:rPr>
        <w:t xml:space="preserve">accounting and tax education on </w:t>
      </w:r>
      <w:r w:rsidRPr="00CB7FF6">
        <w:rPr>
          <w:rFonts w:ascii="Times New Roman" w:hAnsi="Times New Roman" w:cs="Times New Roman"/>
          <w:bCs/>
          <w:sz w:val="20"/>
          <w:szCs w:val="20"/>
          <w:lang w:val="en-US"/>
        </w:rPr>
        <w:t>tax literacy</w:t>
      </w:r>
      <w:r w:rsidR="00112650" w:rsidRPr="00CB7FF6">
        <w:rPr>
          <w:rFonts w:ascii="Times New Roman" w:hAnsi="Times New Roman" w:cs="Times New Roman"/>
          <w:bCs/>
          <w:sz w:val="20"/>
          <w:szCs w:val="20"/>
          <w:lang w:val="en-US"/>
        </w:rPr>
        <w:t xml:space="preserve"> after</w:t>
      </w:r>
      <w:r w:rsidRPr="00CB7FF6">
        <w:rPr>
          <w:rFonts w:ascii="Times New Roman" w:hAnsi="Times New Roman" w:cs="Times New Roman"/>
          <w:bCs/>
          <w:sz w:val="20"/>
          <w:szCs w:val="20"/>
          <w:lang w:val="en-US"/>
        </w:rPr>
        <w:t xml:space="preserve"> </w:t>
      </w:r>
      <w:r w:rsidR="00A8300C" w:rsidRPr="00CB7FF6">
        <w:rPr>
          <w:rFonts w:ascii="Times New Roman" w:hAnsi="Times New Roman" w:cs="Times New Roman"/>
          <w:bCs/>
          <w:sz w:val="20"/>
          <w:szCs w:val="20"/>
          <w:lang w:val="en-US"/>
        </w:rPr>
        <w:t xml:space="preserve">controlling </w:t>
      </w:r>
      <w:r w:rsidR="00A702F7" w:rsidRPr="00CB7FF6">
        <w:rPr>
          <w:rFonts w:ascii="Times New Roman" w:eastAsia="Times New Roman" w:hAnsi="Times New Roman" w:cs="Times New Roman"/>
          <w:bCs/>
          <w:sz w:val="20"/>
          <w:szCs w:val="20"/>
          <w:lang w:val="en-US"/>
        </w:rPr>
        <w:t xml:space="preserve">for </w:t>
      </w:r>
      <w:r w:rsidRPr="00CB7FF6">
        <w:rPr>
          <w:rFonts w:ascii="Times New Roman" w:hAnsi="Times New Roman" w:cs="Times New Roman"/>
          <w:bCs/>
          <w:sz w:val="20"/>
          <w:szCs w:val="20"/>
          <w:lang w:val="en-US"/>
        </w:rPr>
        <w:t xml:space="preserve">various </w:t>
      </w:r>
      <w:r w:rsidRPr="00CB7FF6">
        <w:rPr>
          <w:rFonts w:ascii="Times New Roman" w:eastAsia="Times New Roman" w:hAnsi="Times New Roman" w:cs="Times New Roman"/>
          <w:bCs/>
          <w:sz w:val="20"/>
          <w:szCs w:val="20"/>
          <w:lang w:val="en-US"/>
        </w:rPr>
        <w:t xml:space="preserve">socio-economic factors. </w:t>
      </w:r>
      <w:r w:rsidRPr="00CB7FF6">
        <w:rPr>
          <w:rFonts w:ascii="Times New Roman" w:hAnsi="Times New Roman" w:cs="Times New Roman"/>
          <w:bCs/>
          <w:sz w:val="20"/>
          <w:szCs w:val="20"/>
          <w:lang w:val="en-US"/>
        </w:rPr>
        <w:t xml:space="preserve">We use the following </w:t>
      </w:r>
      <w:r w:rsidR="004F1F33" w:rsidRPr="00CB7FF6">
        <w:rPr>
          <w:rFonts w:ascii="Times New Roman" w:hAnsi="Times New Roman" w:cs="Times New Roman"/>
          <w:bCs/>
          <w:sz w:val="20"/>
          <w:szCs w:val="20"/>
          <w:lang w:val="en-US"/>
        </w:rPr>
        <w:t xml:space="preserve">equation </w:t>
      </w:r>
      <w:r w:rsidRPr="00CB7FF6">
        <w:rPr>
          <w:rFonts w:ascii="Times New Roman" w:hAnsi="Times New Roman" w:cs="Times New Roman"/>
          <w:bCs/>
          <w:sz w:val="20"/>
          <w:szCs w:val="20"/>
          <w:lang w:val="en-US"/>
        </w:rPr>
        <w:t>to test this hypothesis:</w:t>
      </w:r>
      <w:r w:rsidR="00F92518">
        <w:rPr>
          <w:rFonts w:ascii="Times New Roman" w:hAnsi="Times New Roman" w:cs="Times New Roman"/>
          <w:bCs/>
          <w:sz w:val="20"/>
          <w:szCs w:val="20"/>
          <w:lang w:val="en-US"/>
        </w:rPr>
        <w:t xml:space="preserve">  </w:t>
      </w:r>
    </w:p>
    <w:p w14:paraId="405F6421" w14:textId="77777777" w:rsidR="009B773C" w:rsidRPr="00CB7FF6" w:rsidRDefault="009B773C" w:rsidP="00C45D4F">
      <w:pPr>
        <w:rPr>
          <w:rFonts w:ascii="Times New Roman" w:hAnsi="Times New Roman" w:cs="Times New Roman"/>
          <w:bCs/>
          <w:sz w:val="20"/>
          <w:szCs w:val="20"/>
          <w:lang w:val="en-US"/>
        </w:rPr>
      </w:pPr>
    </w:p>
    <w:p w14:paraId="2C49D654" w14:textId="5AC555A5" w:rsidR="0036604B" w:rsidRDefault="0036604B" w:rsidP="00C45D4F">
      <w:pPr>
        <w:tabs>
          <w:tab w:val="left" w:pos="8640"/>
        </w:tabs>
        <w:rPr>
          <w:rFonts w:ascii="Times New Roman" w:hAnsi="Times New Roman" w:cs="Times New Roman"/>
          <w:sz w:val="20"/>
          <w:szCs w:val="20"/>
          <w:lang w:val="en-US"/>
        </w:rPr>
      </w:pPr>
      <m:oMath>
        <m:r>
          <w:rPr>
            <w:rFonts w:ascii="Cambria Math" w:hAnsi="Cambria Math" w:cs="Times New Roman"/>
            <w:sz w:val="20"/>
            <w:szCs w:val="20"/>
            <w:lang w:val="en-US"/>
          </w:rPr>
          <m:t>TaxLit</m:t>
        </m:r>
        <m:r>
          <m:rPr>
            <m:sty m:val="bi"/>
          </m:rP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0</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1</m:t>
            </m:r>
          </m:sub>
        </m:sSub>
        <m:r>
          <w:rPr>
            <w:rFonts w:ascii="Cambria Math" w:hAnsi="Cambria Math" w:cs="Times New Roman"/>
            <w:sz w:val="20"/>
            <w:szCs w:val="20"/>
            <w:lang w:val="en-US"/>
          </w:rPr>
          <m:t>IntroAcctg+</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2</m:t>
            </m:r>
          </m:sub>
        </m:sSub>
        <m:r>
          <w:rPr>
            <w:rFonts w:ascii="Cambria Math" w:hAnsi="Cambria Math" w:cs="Times New Roman"/>
            <w:sz w:val="20"/>
            <w:szCs w:val="20"/>
            <w:lang w:val="en-US"/>
          </w:rPr>
          <m:t>UpperAcctg+</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3</m:t>
            </m:r>
          </m:sub>
        </m:sSub>
        <m:r>
          <w:rPr>
            <w:rFonts w:ascii="Cambria Math" w:hAnsi="Cambria Math" w:cs="Times New Roman"/>
            <w:sz w:val="20"/>
            <w:szCs w:val="20"/>
            <w:lang w:val="en-US"/>
          </w:rPr>
          <m:t>IntroTax+</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4</m:t>
            </m:r>
          </m:sub>
        </m:sSub>
        <m:r>
          <w:rPr>
            <w:rFonts w:ascii="Cambria Math" w:hAnsi="Cambria Math" w:cs="Times New Roman"/>
            <w:sz w:val="20"/>
            <w:szCs w:val="20"/>
            <w:lang w:val="en-US"/>
          </w:rPr>
          <m:t xml:space="preserve">UpperTax+ </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5</m:t>
            </m:r>
          </m:sub>
        </m:sSub>
        <m:r>
          <w:rPr>
            <w:rFonts w:ascii="Cambria Math" w:hAnsi="Cambria Math" w:cs="Times New Roman"/>
            <w:sz w:val="20"/>
            <w:szCs w:val="20"/>
            <w:lang w:val="en-US"/>
          </w:rPr>
          <m:t>FinLit+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6</m:t>
            </m:r>
          </m:sub>
        </m:sSub>
        <m:r>
          <w:rPr>
            <w:rFonts w:ascii="Cambria Math" w:hAnsi="Cambria Math" w:cs="Times New Roman"/>
            <w:sz w:val="20"/>
            <w:szCs w:val="20"/>
            <w:lang w:val="en-US"/>
          </w:rPr>
          <m:t>Gender+</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7</m:t>
            </m:r>
          </m:sub>
        </m:sSub>
        <m:r>
          <w:rPr>
            <w:rFonts w:ascii="Cambria Math" w:hAnsi="Cambria Math" w:cs="Times New Roman"/>
            <w:sz w:val="20"/>
            <w:szCs w:val="20"/>
            <w:lang w:val="en-US"/>
          </w:rPr>
          <m:t>Age+</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8</m:t>
            </m:r>
          </m:sub>
        </m:sSub>
        <m:r>
          <w:rPr>
            <w:rFonts w:ascii="Cambria Math" w:hAnsi="Cambria Math" w:cs="Times New Roman"/>
            <w:sz w:val="20"/>
            <w:szCs w:val="20"/>
            <w:lang w:val="en-US"/>
          </w:rPr>
          <m:t>WrkExp+</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9</m:t>
            </m:r>
          </m:sub>
        </m:sSub>
        <m:r>
          <w:rPr>
            <w:rFonts w:ascii="Cambria Math" w:hAnsi="Cambria Math" w:cs="Times New Roman"/>
            <w:sz w:val="20"/>
            <w:szCs w:val="20"/>
            <w:lang w:val="en-US"/>
          </w:rPr>
          <m:t>PaperFile+</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10</m:t>
            </m:r>
          </m:sub>
        </m:sSub>
        <m:r>
          <w:rPr>
            <w:rFonts w:ascii="Cambria Math" w:hAnsi="Cambria Math" w:cs="Times New Roman"/>
            <w:sz w:val="20"/>
            <w:szCs w:val="20"/>
            <w:lang w:val="en-US"/>
          </w:rPr>
          <m:t>SoftwareFile+</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11</m:t>
            </m:r>
          </m:sub>
        </m:sSub>
        <m:r>
          <w:rPr>
            <w:rFonts w:ascii="Cambria Math" w:hAnsi="Cambria Math" w:cs="Times New Roman"/>
            <w:sz w:val="20"/>
            <w:szCs w:val="20"/>
            <w:lang w:val="en-US"/>
          </w:rPr>
          <m:t>SoftwareFile+</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12</m:t>
            </m:r>
          </m:sub>
        </m:sSub>
        <m:r>
          <w:rPr>
            <w:rFonts w:ascii="Cambria Math" w:hAnsi="Cambria Math" w:cs="Times New Roman"/>
            <w:sz w:val="20"/>
            <w:szCs w:val="20"/>
            <w:lang w:val="en-US"/>
          </w:rPr>
          <m:t>ProFile+</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13</m:t>
            </m:r>
          </m:sub>
        </m:sSub>
        <m:r>
          <w:rPr>
            <w:rFonts w:ascii="Cambria Math" w:hAnsi="Cambria Math" w:cs="Times New Roman"/>
            <w:sz w:val="20"/>
            <w:szCs w:val="20"/>
            <w:lang w:val="en-US"/>
          </w:rPr>
          <m:t>ParentFile+</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14</m:t>
            </m:r>
          </m:sub>
        </m:sSub>
        <m:r>
          <w:rPr>
            <w:rFonts w:ascii="Cambria Math" w:hAnsi="Cambria Math" w:cs="Times New Roman"/>
            <w:sz w:val="20"/>
            <w:szCs w:val="20"/>
            <w:lang w:val="en-US"/>
          </w:rPr>
          <m:t>Family+</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15</m:t>
            </m:r>
          </m:sub>
        </m:sSub>
        <m:r>
          <w:rPr>
            <w:rFonts w:ascii="Cambria Math" w:hAnsi="Cambria Math" w:cs="Times New Roman"/>
            <w:sz w:val="20"/>
            <w:szCs w:val="20"/>
            <w:lang w:val="en-US"/>
          </w:rPr>
          <m:t>FinExp+</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16</m:t>
            </m:r>
          </m:sub>
        </m:sSub>
        <m:r>
          <w:rPr>
            <w:rFonts w:ascii="Cambria Math" w:hAnsi="Cambria Math" w:cs="Times New Roman"/>
            <w:sz w:val="20"/>
            <w:szCs w:val="20"/>
            <w:lang w:val="en-US"/>
          </w:rPr>
          <m:t>Income+ ε</m:t>
        </m:r>
      </m:oMath>
      <w:r w:rsidR="00D861C5" w:rsidRPr="00CB7FF6">
        <w:rPr>
          <w:rFonts w:ascii="Times New Roman" w:hAnsi="Times New Roman" w:cs="Times New Roman"/>
          <w:sz w:val="20"/>
          <w:szCs w:val="20"/>
          <w:lang w:val="en-US"/>
        </w:rPr>
        <w:tab/>
        <w:t>(1)</w:t>
      </w:r>
    </w:p>
    <w:p w14:paraId="04A89CF3" w14:textId="77777777" w:rsidR="00CB7FF6" w:rsidRPr="00CB7FF6" w:rsidRDefault="00CB7FF6" w:rsidP="00C45D4F">
      <w:pPr>
        <w:tabs>
          <w:tab w:val="left" w:pos="8640"/>
        </w:tabs>
        <w:rPr>
          <w:rFonts w:ascii="Times New Roman" w:hAnsi="Times New Roman" w:cs="Times New Roman"/>
          <w:b/>
          <w:sz w:val="20"/>
          <w:szCs w:val="20"/>
          <w:lang w:val="en-US"/>
        </w:rPr>
      </w:pPr>
    </w:p>
    <w:p w14:paraId="7FDC75B7" w14:textId="0F5ECE16" w:rsidR="00FD0BCE" w:rsidRDefault="00FD0BCE" w:rsidP="00C45D4F">
      <w:pPr>
        <w:rPr>
          <w:rFonts w:ascii="Times New Roman" w:eastAsia="Times New Roman" w:hAnsi="Times New Roman" w:cs="Times New Roman"/>
          <w:bCs/>
          <w:sz w:val="20"/>
          <w:szCs w:val="20"/>
          <w:lang w:val="en-US"/>
        </w:rPr>
      </w:pPr>
      <w:r w:rsidRPr="00CB7FF6">
        <w:rPr>
          <w:rFonts w:ascii="Times New Roman" w:hAnsi="Times New Roman" w:cs="Times New Roman"/>
          <w:sz w:val="20"/>
          <w:szCs w:val="20"/>
          <w:lang w:val="en-US"/>
        </w:rPr>
        <w:t>The equation includes socio-economic variables that are commonly used in financial literacy studies and the tax literacy studies by Chardon, Lee, Zwaan, and Liu (2016) and Lyon and Caitlin (2020)</w:t>
      </w:r>
      <w:r w:rsidR="00E55A5F" w:rsidRPr="00CB7FF6">
        <w:rPr>
          <w:rFonts w:ascii="Times New Roman" w:hAnsi="Times New Roman" w:cs="Times New Roman"/>
          <w:sz w:val="20"/>
          <w:szCs w:val="20"/>
          <w:lang w:val="en-US"/>
        </w:rPr>
        <w:t>. Our control</w:t>
      </w:r>
      <w:r w:rsidRPr="00CB7FF6">
        <w:rPr>
          <w:rFonts w:ascii="Times New Roman" w:hAnsi="Times New Roman" w:cs="Times New Roman"/>
          <w:sz w:val="20"/>
          <w:szCs w:val="20"/>
          <w:lang w:val="en-US"/>
        </w:rPr>
        <w:t xml:space="preserve"> variables include age, gender, financial and work experiences. Family-related variables such as whether there is a CPA in the family and household income are included as the tax literacy of young adults are likely heavily influenced by their family members as suggested by</w:t>
      </w:r>
      <w:r w:rsidRPr="00CB7FF6">
        <w:rPr>
          <w:rFonts w:ascii="Times New Roman" w:eastAsia="Times New Roman" w:hAnsi="Times New Roman" w:cs="Times New Roman"/>
          <w:bCs/>
          <w:sz w:val="20"/>
          <w:szCs w:val="20"/>
          <w:lang w:val="en-US"/>
        </w:rPr>
        <w:t xml:space="preserve"> Lusardi et al., (2010). Lastly, </w:t>
      </w:r>
      <w:r w:rsidR="00E55A5F" w:rsidRPr="00CB7FF6">
        <w:rPr>
          <w:rFonts w:ascii="Times New Roman" w:eastAsia="Times New Roman" w:hAnsi="Times New Roman" w:cs="Times New Roman"/>
          <w:bCs/>
          <w:sz w:val="20"/>
          <w:szCs w:val="20"/>
          <w:lang w:val="en-US"/>
        </w:rPr>
        <w:t>we include variables that indicate participants’ return-filing experiences (</w:t>
      </w:r>
      <w:proofErr w:type="spellStart"/>
      <w:r w:rsidR="00E55A5F" w:rsidRPr="00CB7FF6">
        <w:rPr>
          <w:rFonts w:ascii="Times New Roman" w:eastAsia="Times New Roman" w:hAnsi="Times New Roman" w:cs="Times New Roman"/>
          <w:bCs/>
          <w:i/>
          <w:sz w:val="20"/>
          <w:szCs w:val="20"/>
          <w:lang w:val="en-US"/>
        </w:rPr>
        <w:t>PaperFile</w:t>
      </w:r>
      <w:proofErr w:type="spellEnd"/>
      <w:r w:rsidR="00E55A5F" w:rsidRPr="00CB7FF6">
        <w:rPr>
          <w:rFonts w:ascii="Times New Roman" w:eastAsia="Times New Roman" w:hAnsi="Times New Roman" w:cs="Times New Roman"/>
          <w:bCs/>
          <w:sz w:val="20"/>
          <w:szCs w:val="20"/>
          <w:lang w:val="en-US"/>
        </w:rPr>
        <w:t xml:space="preserve">, </w:t>
      </w:r>
      <w:proofErr w:type="spellStart"/>
      <w:r w:rsidR="00E55A5F" w:rsidRPr="00CB7FF6">
        <w:rPr>
          <w:rFonts w:ascii="Times New Roman" w:eastAsia="Times New Roman" w:hAnsi="Times New Roman" w:cs="Times New Roman"/>
          <w:bCs/>
          <w:i/>
          <w:sz w:val="20"/>
          <w:szCs w:val="20"/>
          <w:lang w:val="en-US"/>
        </w:rPr>
        <w:t>SoftwareFile</w:t>
      </w:r>
      <w:proofErr w:type="spellEnd"/>
      <w:r w:rsidR="00E55A5F" w:rsidRPr="00CB7FF6">
        <w:rPr>
          <w:rFonts w:ascii="Times New Roman" w:eastAsia="Times New Roman" w:hAnsi="Times New Roman" w:cs="Times New Roman"/>
          <w:bCs/>
          <w:sz w:val="20"/>
          <w:szCs w:val="20"/>
          <w:lang w:val="en-US"/>
        </w:rPr>
        <w:t xml:space="preserve">, </w:t>
      </w:r>
      <w:proofErr w:type="spellStart"/>
      <w:r w:rsidR="00E55A5F" w:rsidRPr="00CB7FF6">
        <w:rPr>
          <w:rFonts w:ascii="Times New Roman" w:eastAsia="Times New Roman" w:hAnsi="Times New Roman" w:cs="Times New Roman"/>
          <w:bCs/>
          <w:i/>
          <w:sz w:val="20"/>
          <w:szCs w:val="20"/>
          <w:lang w:val="en-US"/>
        </w:rPr>
        <w:t>ProFile</w:t>
      </w:r>
      <w:proofErr w:type="spellEnd"/>
      <w:r w:rsidR="00E55A5F" w:rsidRPr="00CB7FF6">
        <w:rPr>
          <w:rFonts w:ascii="Times New Roman" w:eastAsia="Times New Roman" w:hAnsi="Times New Roman" w:cs="Times New Roman"/>
          <w:bCs/>
          <w:sz w:val="20"/>
          <w:szCs w:val="20"/>
          <w:lang w:val="en-US"/>
        </w:rPr>
        <w:t xml:space="preserve">, and </w:t>
      </w:r>
      <w:proofErr w:type="spellStart"/>
      <w:r w:rsidR="00E55A5F" w:rsidRPr="00CB7FF6">
        <w:rPr>
          <w:rFonts w:ascii="Times New Roman" w:eastAsia="Times New Roman" w:hAnsi="Times New Roman" w:cs="Times New Roman"/>
          <w:bCs/>
          <w:i/>
          <w:sz w:val="20"/>
          <w:szCs w:val="20"/>
          <w:lang w:val="en-US"/>
        </w:rPr>
        <w:t>ParentFile</w:t>
      </w:r>
      <w:proofErr w:type="spellEnd"/>
      <w:r w:rsidR="00E55A5F" w:rsidRPr="00CB7FF6">
        <w:rPr>
          <w:rFonts w:ascii="Times New Roman" w:eastAsia="Times New Roman" w:hAnsi="Times New Roman" w:cs="Times New Roman"/>
          <w:bCs/>
          <w:sz w:val="20"/>
          <w:szCs w:val="20"/>
          <w:lang w:val="en-US"/>
        </w:rPr>
        <w:t>) because these variables indicate the participants’</w:t>
      </w:r>
      <w:r w:rsidR="00665607" w:rsidRPr="00CB7FF6">
        <w:rPr>
          <w:rFonts w:ascii="Times New Roman" w:eastAsia="Times New Roman" w:hAnsi="Times New Roman" w:cs="Times New Roman"/>
          <w:bCs/>
          <w:sz w:val="20"/>
          <w:szCs w:val="20"/>
          <w:lang w:val="en-US"/>
        </w:rPr>
        <w:t xml:space="preserve"> tax return filing experiences </w:t>
      </w:r>
      <w:r w:rsidR="00335B40" w:rsidRPr="00CB7FF6">
        <w:rPr>
          <w:rFonts w:ascii="Times New Roman" w:eastAsia="Times New Roman" w:hAnsi="Times New Roman" w:cs="Times New Roman"/>
          <w:bCs/>
          <w:sz w:val="20"/>
          <w:szCs w:val="20"/>
          <w:lang w:val="en-US"/>
        </w:rPr>
        <w:t>are associated with their tax literacy levels beyond education background.</w:t>
      </w:r>
      <w:r w:rsidR="00F92518">
        <w:rPr>
          <w:rFonts w:ascii="Times New Roman" w:eastAsia="Times New Roman" w:hAnsi="Times New Roman" w:cs="Times New Roman"/>
          <w:bCs/>
          <w:sz w:val="20"/>
          <w:szCs w:val="20"/>
          <w:lang w:val="en-US"/>
        </w:rPr>
        <w:t xml:space="preserve">  </w:t>
      </w:r>
    </w:p>
    <w:p w14:paraId="39413947" w14:textId="77777777" w:rsidR="00F92518" w:rsidRDefault="00F92518" w:rsidP="00C45D4F">
      <w:pPr>
        <w:rPr>
          <w:rFonts w:ascii="Times New Roman" w:hAnsi="Times New Roman" w:cs="Times New Roman"/>
          <w:sz w:val="20"/>
          <w:szCs w:val="20"/>
          <w:lang w:val="en-US"/>
        </w:rPr>
      </w:pPr>
    </w:p>
    <w:p w14:paraId="6F1E44E4" w14:textId="793F90FD" w:rsidR="008E1320" w:rsidRDefault="00274D77" w:rsidP="00C45D4F">
      <w:pPr>
        <w:rPr>
          <w:rFonts w:ascii="Times New Roman" w:hAnsi="Times New Roman" w:cs="Times New Roman"/>
          <w:sz w:val="20"/>
          <w:szCs w:val="20"/>
          <w:lang w:val="en-US"/>
        </w:rPr>
      </w:pPr>
      <w:r w:rsidRPr="00CB7FF6">
        <w:rPr>
          <w:rFonts w:ascii="Times New Roman" w:hAnsi="Times New Roman" w:cs="Times New Roman"/>
          <w:sz w:val="20"/>
          <w:szCs w:val="20"/>
          <w:lang w:val="en-US"/>
        </w:rPr>
        <w:t>In Table 6, we first fun the regression</w:t>
      </w:r>
      <w:r w:rsidR="00FE33F7" w:rsidRPr="00CB7FF6">
        <w:rPr>
          <w:rFonts w:ascii="Times New Roman" w:hAnsi="Times New Roman" w:cs="Times New Roman"/>
          <w:sz w:val="20"/>
          <w:szCs w:val="20"/>
          <w:lang w:val="en-US"/>
        </w:rPr>
        <w:t xml:space="preserve"> (Model 1)</w:t>
      </w:r>
      <w:r w:rsidRPr="00CB7FF6">
        <w:rPr>
          <w:rFonts w:ascii="Times New Roman" w:hAnsi="Times New Roman" w:cs="Times New Roman"/>
          <w:sz w:val="20"/>
          <w:szCs w:val="20"/>
          <w:lang w:val="en-US"/>
        </w:rPr>
        <w:t xml:space="preserve"> with only the demographic variables (</w:t>
      </w:r>
      <w:r w:rsidR="00B53FB3" w:rsidRPr="00CB7FF6">
        <w:rPr>
          <w:rFonts w:ascii="Times New Roman" w:hAnsi="Times New Roman" w:cs="Times New Roman"/>
          <w:sz w:val="20"/>
          <w:szCs w:val="20"/>
          <w:lang w:val="en-US"/>
        </w:rPr>
        <w:t>β</w:t>
      </w:r>
      <w:r w:rsidR="00B53FB3" w:rsidRPr="00CB7FF6">
        <w:rPr>
          <w:rFonts w:ascii="Times New Roman" w:hAnsi="Times New Roman" w:cs="Times New Roman"/>
          <w:sz w:val="20"/>
          <w:szCs w:val="20"/>
          <w:vertAlign w:val="subscript"/>
          <w:lang w:val="en-US"/>
        </w:rPr>
        <w:t xml:space="preserve">5 </w:t>
      </w:r>
      <w:r w:rsidR="00FE33F7" w:rsidRPr="00CB7FF6">
        <w:rPr>
          <w:rFonts w:ascii="Times New Roman" w:hAnsi="Times New Roman" w:cs="Times New Roman"/>
          <w:sz w:val="20"/>
          <w:szCs w:val="20"/>
          <w:lang w:val="en-US"/>
        </w:rPr>
        <w:t xml:space="preserve">to </w:t>
      </w:r>
      <w:r w:rsidR="00B53FB3" w:rsidRPr="00CB7FF6">
        <w:rPr>
          <w:rFonts w:ascii="Times New Roman" w:hAnsi="Times New Roman" w:cs="Times New Roman"/>
          <w:sz w:val="20"/>
          <w:szCs w:val="20"/>
          <w:lang w:val="en-US"/>
        </w:rPr>
        <w:t>β</w:t>
      </w:r>
      <w:r w:rsidR="00B53FB3" w:rsidRPr="00CB7FF6">
        <w:rPr>
          <w:rFonts w:ascii="Times New Roman" w:hAnsi="Times New Roman" w:cs="Times New Roman"/>
          <w:sz w:val="20"/>
          <w:szCs w:val="20"/>
          <w:vertAlign w:val="subscript"/>
          <w:lang w:val="en-US"/>
        </w:rPr>
        <w:t>16</w:t>
      </w:r>
      <w:r w:rsidRPr="00CB7FF6">
        <w:rPr>
          <w:rFonts w:ascii="Times New Roman" w:hAnsi="Times New Roman" w:cs="Times New Roman"/>
          <w:sz w:val="20"/>
          <w:szCs w:val="20"/>
          <w:lang w:val="en-US"/>
        </w:rPr>
        <w:t xml:space="preserve">) to </w:t>
      </w:r>
      <w:r w:rsidR="008E1320" w:rsidRPr="00CB7FF6">
        <w:rPr>
          <w:rFonts w:ascii="Times New Roman" w:hAnsi="Times New Roman" w:cs="Times New Roman"/>
          <w:sz w:val="20"/>
          <w:szCs w:val="20"/>
          <w:lang w:val="en-US"/>
        </w:rPr>
        <w:t>examine the effects of</w:t>
      </w:r>
      <w:r w:rsidRPr="00CB7FF6">
        <w:rPr>
          <w:rFonts w:ascii="Times New Roman" w:hAnsi="Times New Roman" w:cs="Times New Roman"/>
          <w:sz w:val="20"/>
          <w:szCs w:val="20"/>
          <w:lang w:val="en-US"/>
        </w:rPr>
        <w:t xml:space="preserve"> non-education factors that may affect respondents’ tax literacy. </w:t>
      </w:r>
      <w:r w:rsidR="00E45A46" w:rsidRPr="00CB7FF6">
        <w:rPr>
          <w:rFonts w:ascii="Times New Roman" w:hAnsi="Times New Roman" w:cs="Times New Roman"/>
          <w:sz w:val="20"/>
          <w:szCs w:val="20"/>
          <w:lang w:val="en-US"/>
        </w:rPr>
        <w:t xml:space="preserve">The coefficient for </w:t>
      </w:r>
      <w:proofErr w:type="spellStart"/>
      <w:r w:rsidR="00E45A46" w:rsidRPr="00CB7FF6">
        <w:rPr>
          <w:rFonts w:ascii="Times New Roman" w:hAnsi="Times New Roman" w:cs="Times New Roman"/>
          <w:i/>
          <w:sz w:val="20"/>
          <w:szCs w:val="20"/>
          <w:lang w:val="en-US"/>
        </w:rPr>
        <w:t>FinLit</w:t>
      </w:r>
      <w:proofErr w:type="spellEnd"/>
      <w:r w:rsidR="00E45A46" w:rsidRPr="00CB7FF6">
        <w:rPr>
          <w:rFonts w:ascii="Times New Roman" w:hAnsi="Times New Roman" w:cs="Times New Roman"/>
          <w:sz w:val="20"/>
          <w:szCs w:val="20"/>
          <w:lang w:val="en-US"/>
        </w:rPr>
        <w:t xml:space="preserve"> is strongly correlated with </w:t>
      </w:r>
      <w:r w:rsidR="00B53FB3" w:rsidRPr="00CB7FF6">
        <w:rPr>
          <w:rFonts w:ascii="Times New Roman" w:hAnsi="Times New Roman" w:cs="Times New Roman"/>
          <w:sz w:val="20"/>
          <w:szCs w:val="20"/>
          <w:lang w:val="en-US"/>
        </w:rPr>
        <w:t xml:space="preserve">the dependent variable </w:t>
      </w:r>
      <w:proofErr w:type="spellStart"/>
      <w:r w:rsidR="00E45A46" w:rsidRPr="00CB7FF6">
        <w:rPr>
          <w:rFonts w:ascii="Times New Roman" w:hAnsi="Times New Roman" w:cs="Times New Roman"/>
          <w:i/>
          <w:sz w:val="20"/>
          <w:szCs w:val="20"/>
          <w:lang w:val="en-US"/>
        </w:rPr>
        <w:t>TaxLit</w:t>
      </w:r>
      <w:proofErr w:type="spellEnd"/>
      <w:r w:rsidR="00E45A46" w:rsidRPr="00CB7FF6">
        <w:rPr>
          <w:rFonts w:ascii="Times New Roman" w:hAnsi="Times New Roman" w:cs="Times New Roman"/>
          <w:sz w:val="20"/>
          <w:szCs w:val="20"/>
          <w:lang w:val="en-US"/>
        </w:rPr>
        <w:t>, suggesting that when respondents’ financial literacy is higher</w:t>
      </w:r>
      <w:r w:rsidR="008172A0" w:rsidRPr="00CB7FF6">
        <w:rPr>
          <w:rFonts w:ascii="Times New Roman" w:hAnsi="Times New Roman" w:cs="Times New Roman"/>
          <w:sz w:val="20"/>
          <w:szCs w:val="20"/>
          <w:lang w:val="en-US"/>
        </w:rPr>
        <w:t>,</w:t>
      </w:r>
      <w:r w:rsidR="00E45A46" w:rsidRPr="00CB7FF6">
        <w:rPr>
          <w:rFonts w:ascii="Times New Roman" w:hAnsi="Times New Roman" w:cs="Times New Roman"/>
          <w:sz w:val="20"/>
          <w:szCs w:val="20"/>
          <w:lang w:val="en-US"/>
        </w:rPr>
        <w:t xml:space="preserve"> their tax literacy is also higher. </w:t>
      </w:r>
      <w:proofErr w:type="spellStart"/>
      <w:r w:rsidR="0079346F" w:rsidRPr="00CB7FF6">
        <w:rPr>
          <w:rFonts w:ascii="Times New Roman" w:hAnsi="Times New Roman" w:cs="Times New Roman"/>
          <w:i/>
          <w:sz w:val="20"/>
          <w:szCs w:val="20"/>
          <w:lang w:val="en-US"/>
        </w:rPr>
        <w:t>FinLit</w:t>
      </w:r>
      <w:proofErr w:type="spellEnd"/>
      <w:r w:rsidR="0079346F" w:rsidRPr="00CB7FF6">
        <w:rPr>
          <w:rFonts w:ascii="Times New Roman" w:hAnsi="Times New Roman" w:cs="Times New Roman"/>
          <w:sz w:val="20"/>
          <w:szCs w:val="20"/>
          <w:lang w:val="en-US"/>
        </w:rPr>
        <w:t xml:space="preserve"> also has the highest coefficient in the model (0.40, </w:t>
      </w:r>
      <w:r w:rsidR="0079346F" w:rsidRPr="00CB7FF6">
        <w:rPr>
          <w:rFonts w:ascii="Times New Roman" w:hAnsi="Times New Roman" w:cs="Times New Roman"/>
          <w:i/>
          <w:sz w:val="20"/>
          <w:szCs w:val="20"/>
          <w:lang w:val="en-US"/>
        </w:rPr>
        <w:t>p</w:t>
      </w:r>
      <w:r w:rsidR="0079346F" w:rsidRPr="00CB7FF6">
        <w:rPr>
          <w:rFonts w:ascii="Times New Roman" w:hAnsi="Times New Roman" w:cs="Times New Roman"/>
          <w:sz w:val="20"/>
          <w:szCs w:val="20"/>
          <w:lang w:val="en-US"/>
        </w:rPr>
        <w:t xml:space="preserve">-value&lt;0.01). </w:t>
      </w:r>
      <w:r w:rsidR="00E17923" w:rsidRPr="00CB7FF6">
        <w:rPr>
          <w:rFonts w:ascii="Times New Roman" w:hAnsi="Times New Roman" w:cs="Times New Roman"/>
          <w:sz w:val="20"/>
          <w:szCs w:val="20"/>
          <w:lang w:val="en-US"/>
        </w:rPr>
        <w:t xml:space="preserve">The positive correlation between financial and tax literacy </w:t>
      </w:r>
      <w:r w:rsidR="008E1320" w:rsidRPr="00CB7FF6">
        <w:rPr>
          <w:rFonts w:ascii="Times New Roman" w:hAnsi="Times New Roman" w:cs="Times New Roman"/>
          <w:sz w:val="20"/>
          <w:szCs w:val="20"/>
          <w:lang w:val="en-US"/>
        </w:rPr>
        <w:t xml:space="preserve">is consistent with </w:t>
      </w:r>
      <w:r w:rsidR="00E17923" w:rsidRPr="00CB7FF6">
        <w:rPr>
          <w:rFonts w:ascii="Times New Roman" w:hAnsi="Times New Roman" w:cs="Times New Roman"/>
          <w:sz w:val="20"/>
          <w:szCs w:val="20"/>
          <w:lang w:val="en-US"/>
        </w:rPr>
        <w:t xml:space="preserve">the findings in </w:t>
      </w:r>
      <w:r w:rsidR="008E1320" w:rsidRPr="00CB7FF6">
        <w:rPr>
          <w:rFonts w:ascii="Times New Roman" w:hAnsi="Times New Roman" w:cs="Times New Roman"/>
          <w:sz w:val="20"/>
          <w:szCs w:val="20"/>
          <w:lang w:val="en-US"/>
        </w:rPr>
        <w:t>prior research (</w:t>
      </w:r>
      <w:r w:rsidR="00E17923" w:rsidRPr="00CB7FF6">
        <w:rPr>
          <w:rStyle w:val="standard-view-style"/>
          <w:rFonts w:ascii="Times New Roman" w:hAnsi="Times New Roman" w:cs="Times New Roman"/>
          <w:sz w:val="20"/>
          <w:szCs w:val="20"/>
          <w:lang w:val="en-US"/>
        </w:rPr>
        <w:t xml:space="preserve">Chardon, Freudenberg and Brimble, </w:t>
      </w:r>
      <w:r w:rsidR="008E1320" w:rsidRPr="00CB7FF6">
        <w:rPr>
          <w:rFonts w:ascii="Times New Roman" w:hAnsi="Times New Roman" w:cs="Times New Roman"/>
          <w:sz w:val="20"/>
          <w:szCs w:val="20"/>
          <w:lang w:val="en-US"/>
        </w:rPr>
        <w:t xml:space="preserve">2016, Lyon and Caitlin 2020). </w:t>
      </w:r>
      <w:r w:rsidR="00E45A46" w:rsidRPr="00CB7FF6">
        <w:rPr>
          <w:rFonts w:ascii="Times New Roman" w:hAnsi="Times New Roman" w:cs="Times New Roman"/>
          <w:i/>
          <w:sz w:val="20"/>
          <w:szCs w:val="20"/>
          <w:lang w:val="en-US"/>
        </w:rPr>
        <w:t>Age</w:t>
      </w:r>
      <w:r w:rsidR="0079346F" w:rsidRPr="00CB7FF6">
        <w:rPr>
          <w:rFonts w:ascii="Times New Roman" w:hAnsi="Times New Roman" w:cs="Times New Roman"/>
          <w:sz w:val="20"/>
          <w:szCs w:val="20"/>
          <w:lang w:val="en-US"/>
        </w:rPr>
        <w:t xml:space="preserve"> and </w:t>
      </w:r>
      <w:proofErr w:type="spellStart"/>
      <w:r w:rsidR="0079346F" w:rsidRPr="00CB7FF6">
        <w:rPr>
          <w:rFonts w:ascii="Times New Roman" w:hAnsi="Times New Roman" w:cs="Times New Roman"/>
          <w:i/>
          <w:sz w:val="20"/>
          <w:szCs w:val="20"/>
          <w:lang w:val="en-US"/>
        </w:rPr>
        <w:t>FinExp</w:t>
      </w:r>
      <w:proofErr w:type="spellEnd"/>
      <w:r w:rsidR="0079346F" w:rsidRPr="00CB7FF6">
        <w:rPr>
          <w:rFonts w:ascii="Times New Roman" w:hAnsi="Times New Roman" w:cs="Times New Roman"/>
          <w:sz w:val="20"/>
          <w:szCs w:val="20"/>
          <w:lang w:val="en-US"/>
        </w:rPr>
        <w:t xml:space="preserve"> are</w:t>
      </w:r>
      <w:r w:rsidR="00E45A46" w:rsidRPr="00CB7FF6">
        <w:rPr>
          <w:rFonts w:ascii="Times New Roman" w:hAnsi="Times New Roman" w:cs="Times New Roman"/>
          <w:sz w:val="20"/>
          <w:szCs w:val="20"/>
          <w:lang w:val="en-US"/>
        </w:rPr>
        <w:t xml:space="preserve"> positive and significant, and </w:t>
      </w:r>
      <w:proofErr w:type="spellStart"/>
      <w:r w:rsidR="00E45A46" w:rsidRPr="00CB7FF6">
        <w:rPr>
          <w:rFonts w:ascii="Times New Roman" w:hAnsi="Times New Roman" w:cs="Times New Roman"/>
          <w:i/>
          <w:sz w:val="20"/>
          <w:szCs w:val="20"/>
          <w:lang w:val="en-US"/>
        </w:rPr>
        <w:t>SoftwareFile</w:t>
      </w:r>
      <w:proofErr w:type="spellEnd"/>
      <w:r w:rsidR="00E45A46" w:rsidRPr="00CB7FF6">
        <w:rPr>
          <w:rFonts w:ascii="Times New Roman" w:hAnsi="Times New Roman" w:cs="Times New Roman"/>
          <w:sz w:val="20"/>
          <w:szCs w:val="20"/>
          <w:lang w:val="en-US"/>
        </w:rPr>
        <w:t xml:space="preserve"> </w:t>
      </w:r>
      <w:r w:rsidR="0079346F" w:rsidRPr="00CB7FF6">
        <w:rPr>
          <w:rFonts w:ascii="Times New Roman" w:hAnsi="Times New Roman" w:cs="Times New Roman"/>
          <w:sz w:val="20"/>
          <w:szCs w:val="20"/>
          <w:lang w:val="en-US"/>
        </w:rPr>
        <w:t>is</w:t>
      </w:r>
      <w:r w:rsidR="00E45A46" w:rsidRPr="00CB7FF6">
        <w:rPr>
          <w:rFonts w:ascii="Times New Roman" w:hAnsi="Times New Roman" w:cs="Times New Roman"/>
          <w:sz w:val="20"/>
          <w:szCs w:val="20"/>
          <w:lang w:val="en-US"/>
        </w:rPr>
        <w:t xml:space="preserve"> positive </w:t>
      </w:r>
      <w:r w:rsidR="00E45A46" w:rsidRPr="00F92518">
        <w:rPr>
          <w:rFonts w:ascii="Times New Roman" w:hAnsi="Times New Roman" w:cs="Times New Roman"/>
          <w:sz w:val="20"/>
          <w:szCs w:val="20"/>
          <w:lang w:val="en-US"/>
        </w:rPr>
        <w:t xml:space="preserve">and weakly significant, while </w:t>
      </w:r>
      <w:proofErr w:type="spellStart"/>
      <w:r w:rsidR="00E45A46" w:rsidRPr="00F92518">
        <w:rPr>
          <w:rFonts w:ascii="Times New Roman" w:hAnsi="Times New Roman" w:cs="Times New Roman"/>
          <w:i/>
          <w:sz w:val="20"/>
          <w:szCs w:val="20"/>
          <w:lang w:val="en-US"/>
        </w:rPr>
        <w:t>WorkExp</w:t>
      </w:r>
      <w:proofErr w:type="spellEnd"/>
      <w:r w:rsidR="00E45A46" w:rsidRPr="00F92518">
        <w:rPr>
          <w:rFonts w:ascii="Times New Roman" w:hAnsi="Times New Roman" w:cs="Times New Roman"/>
          <w:sz w:val="20"/>
          <w:szCs w:val="20"/>
          <w:lang w:val="en-US"/>
        </w:rPr>
        <w:t xml:space="preserve"> is negative</w:t>
      </w:r>
      <w:r w:rsidR="00E17923" w:rsidRPr="00F92518">
        <w:rPr>
          <w:rFonts w:ascii="Times New Roman" w:hAnsi="Times New Roman" w:cs="Times New Roman"/>
          <w:sz w:val="20"/>
          <w:szCs w:val="20"/>
          <w:lang w:val="en-US"/>
        </w:rPr>
        <w:t xml:space="preserve"> and significant</w:t>
      </w:r>
      <w:proofErr w:type="gramStart"/>
      <w:r w:rsidR="008172A0" w:rsidRPr="00F92518">
        <w:rPr>
          <w:rFonts w:ascii="Times New Roman" w:hAnsi="Times New Roman" w:cs="Times New Roman"/>
          <w:sz w:val="20"/>
          <w:szCs w:val="20"/>
          <w:lang w:val="en-US"/>
        </w:rPr>
        <w:t xml:space="preserve"> These</w:t>
      </w:r>
      <w:proofErr w:type="gramEnd"/>
      <w:r w:rsidR="008172A0" w:rsidRPr="00F92518">
        <w:rPr>
          <w:rFonts w:ascii="Times New Roman" w:hAnsi="Times New Roman" w:cs="Times New Roman"/>
          <w:sz w:val="20"/>
          <w:szCs w:val="20"/>
          <w:lang w:val="en-US"/>
        </w:rPr>
        <w:t xml:space="preserve"> results show that</w:t>
      </w:r>
      <w:r w:rsidR="00FE33F7" w:rsidRPr="00F92518">
        <w:rPr>
          <w:rFonts w:ascii="Times New Roman" w:hAnsi="Times New Roman" w:cs="Times New Roman"/>
          <w:sz w:val="20"/>
          <w:szCs w:val="20"/>
          <w:lang w:val="en-US"/>
        </w:rPr>
        <w:t xml:space="preserve"> in our sample, the length of work experience is negatively correlated with tax literacy.</w:t>
      </w:r>
      <w:r w:rsidR="00CB00B6" w:rsidRPr="00F92518">
        <w:rPr>
          <w:rFonts w:ascii="Times New Roman" w:hAnsi="Times New Roman" w:cs="Times New Roman"/>
          <w:sz w:val="20"/>
          <w:szCs w:val="20"/>
          <w:lang w:val="en-US"/>
        </w:rPr>
        <w:t xml:space="preserve"> This is </w:t>
      </w:r>
      <w:r w:rsidR="00E45A46" w:rsidRPr="00F92518">
        <w:rPr>
          <w:rFonts w:ascii="Times New Roman" w:hAnsi="Times New Roman" w:cs="Times New Roman"/>
          <w:i/>
          <w:sz w:val="20"/>
          <w:szCs w:val="20"/>
          <w:lang w:val="en-US"/>
        </w:rPr>
        <w:t>Gender</w:t>
      </w:r>
      <w:r w:rsidR="00E45A46" w:rsidRPr="00F92518">
        <w:rPr>
          <w:rFonts w:ascii="Times New Roman" w:hAnsi="Times New Roman" w:cs="Times New Roman"/>
          <w:sz w:val="20"/>
          <w:szCs w:val="20"/>
          <w:lang w:val="en-US"/>
        </w:rPr>
        <w:t xml:space="preserve">, </w:t>
      </w:r>
      <w:r w:rsidR="00E45A46" w:rsidRPr="00F92518">
        <w:rPr>
          <w:rFonts w:ascii="Times New Roman" w:hAnsi="Times New Roman" w:cs="Times New Roman"/>
          <w:i/>
          <w:sz w:val="20"/>
          <w:szCs w:val="20"/>
          <w:lang w:val="en-US"/>
        </w:rPr>
        <w:t>Family</w:t>
      </w:r>
      <w:r w:rsidR="00E45A46" w:rsidRPr="00F92518">
        <w:rPr>
          <w:rFonts w:ascii="Times New Roman" w:hAnsi="Times New Roman" w:cs="Times New Roman"/>
          <w:sz w:val="20"/>
          <w:szCs w:val="20"/>
          <w:lang w:val="en-US"/>
        </w:rPr>
        <w:t xml:space="preserve">, </w:t>
      </w:r>
      <w:r w:rsidR="00E45A46" w:rsidRPr="00F92518">
        <w:rPr>
          <w:rFonts w:ascii="Times New Roman" w:hAnsi="Times New Roman" w:cs="Times New Roman"/>
          <w:i/>
          <w:sz w:val="20"/>
          <w:szCs w:val="20"/>
          <w:lang w:val="en-US"/>
        </w:rPr>
        <w:t>Income</w:t>
      </w:r>
      <w:r w:rsidR="00E45A46" w:rsidRPr="00F92518">
        <w:rPr>
          <w:rFonts w:ascii="Times New Roman" w:hAnsi="Times New Roman" w:cs="Times New Roman"/>
          <w:sz w:val="20"/>
          <w:szCs w:val="20"/>
          <w:lang w:val="en-US"/>
        </w:rPr>
        <w:t xml:space="preserve"> and other filing methods (</w:t>
      </w:r>
      <w:proofErr w:type="spellStart"/>
      <w:r w:rsidR="00E45A46" w:rsidRPr="00F92518">
        <w:rPr>
          <w:rFonts w:ascii="Times New Roman" w:hAnsi="Times New Roman" w:cs="Times New Roman"/>
          <w:i/>
          <w:sz w:val="20"/>
          <w:szCs w:val="20"/>
          <w:lang w:val="en-US"/>
        </w:rPr>
        <w:t>PaperFile</w:t>
      </w:r>
      <w:proofErr w:type="spellEnd"/>
      <w:r w:rsidR="00E45A46" w:rsidRPr="00F92518">
        <w:rPr>
          <w:rFonts w:ascii="Times New Roman" w:hAnsi="Times New Roman" w:cs="Times New Roman"/>
          <w:sz w:val="20"/>
          <w:szCs w:val="20"/>
          <w:lang w:val="en-US"/>
        </w:rPr>
        <w:t xml:space="preserve">, </w:t>
      </w:r>
      <w:proofErr w:type="spellStart"/>
      <w:r w:rsidR="00E45A46" w:rsidRPr="00F92518">
        <w:rPr>
          <w:rFonts w:ascii="Times New Roman" w:hAnsi="Times New Roman" w:cs="Times New Roman"/>
          <w:i/>
          <w:sz w:val="20"/>
          <w:szCs w:val="20"/>
          <w:lang w:val="en-US"/>
        </w:rPr>
        <w:t>ProfFile</w:t>
      </w:r>
      <w:proofErr w:type="spellEnd"/>
      <w:r w:rsidR="00E45A46" w:rsidRPr="00F92518">
        <w:rPr>
          <w:rFonts w:ascii="Times New Roman" w:hAnsi="Times New Roman" w:cs="Times New Roman"/>
          <w:sz w:val="20"/>
          <w:szCs w:val="20"/>
          <w:lang w:val="en-US"/>
        </w:rPr>
        <w:t xml:space="preserve">, and </w:t>
      </w:r>
      <w:proofErr w:type="spellStart"/>
      <w:r w:rsidR="00E45A46" w:rsidRPr="00F92518">
        <w:rPr>
          <w:rFonts w:ascii="Times New Roman" w:hAnsi="Times New Roman" w:cs="Times New Roman"/>
          <w:i/>
          <w:sz w:val="20"/>
          <w:szCs w:val="20"/>
          <w:lang w:val="en-US"/>
        </w:rPr>
        <w:t>ParentFile</w:t>
      </w:r>
      <w:proofErr w:type="spellEnd"/>
      <w:r w:rsidR="00E45A46" w:rsidRPr="00F92518">
        <w:rPr>
          <w:rFonts w:ascii="Times New Roman" w:hAnsi="Times New Roman" w:cs="Times New Roman"/>
          <w:sz w:val="20"/>
          <w:szCs w:val="20"/>
          <w:lang w:val="en-US"/>
        </w:rPr>
        <w:t xml:space="preserve">) are not correlated with </w:t>
      </w:r>
      <w:proofErr w:type="spellStart"/>
      <w:r w:rsidR="00E45A46" w:rsidRPr="00F92518">
        <w:rPr>
          <w:rFonts w:ascii="Times New Roman" w:hAnsi="Times New Roman" w:cs="Times New Roman"/>
          <w:i/>
          <w:sz w:val="20"/>
          <w:szCs w:val="20"/>
          <w:lang w:val="en-US"/>
        </w:rPr>
        <w:t>TaxLit</w:t>
      </w:r>
      <w:proofErr w:type="spellEnd"/>
      <w:r w:rsidR="00E45A46" w:rsidRPr="00F92518">
        <w:rPr>
          <w:rFonts w:ascii="Times New Roman" w:hAnsi="Times New Roman" w:cs="Times New Roman"/>
          <w:sz w:val="20"/>
          <w:szCs w:val="20"/>
          <w:lang w:val="en-US"/>
        </w:rPr>
        <w:t>.</w:t>
      </w:r>
      <w:r w:rsidR="00F92518">
        <w:rPr>
          <w:rFonts w:ascii="Times New Roman" w:hAnsi="Times New Roman" w:cs="Times New Roman"/>
          <w:sz w:val="20"/>
          <w:szCs w:val="20"/>
          <w:lang w:val="en-US"/>
        </w:rPr>
        <w:t xml:space="preserve">  </w:t>
      </w:r>
    </w:p>
    <w:p w14:paraId="519EA15B" w14:textId="77777777" w:rsidR="00F92518" w:rsidRPr="00F92518" w:rsidRDefault="00F92518" w:rsidP="00C45D4F">
      <w:pPr>
        <w:rPr>
          <w:rFonts w:ascii="Times New Roman" w:hAnsi="Times New Roman" w:cs="Times New Roman"/>
          <w:sz w:val="20"/>
          <w:szCs w:val="20"/>
          <w:lang w:val="en-US"/>
        </w:rPr>
      </w:pPr>
    </w:p>
    <w:p w14:paraId="03D9921A" w14:textId="21D1B29A" w:rsidR="004963FA" w:rsidRDefault="000D5B43" w:rsidP="00C45D4F">
      <w:pPr>
        <w:rPr>
          <w:rFonts w:ascii="Times New Roman" w:hAnsi="Times New Roman" w:cs="Times New Roman"/>
          <w:sz w:val="20"/>
          <w:szCs w:val="20"/>
          <w:lang w:val="en-US"/>
        </w:rPr>
      </w:pPr>
      <w:proofErr w:type="gramStart"/>
      <w:r w:rsidRPr="00F92518">
        <w:rPr>
          <w:rFonts w:ascii="Times New Roman" w:hAnsi="Times New Roman" w:cs="Times New Roman"/>
          <w:sz w:val="20"/>
          <w:szCs w:val="20"/>
          <w:lang w:val="en-US"/>
        </w:rPr>
        <w:t>I</w:t>
      </w:r>
      <w:r w:rsidR="00F00931" w:rsidRPr="00F92518">
        <w:rPr>
          <w:rFonts w:ascii="Times New Roman" w:hAnsi="Times New Roman" w:cs="Times New Roman"/>
          <w:sz w:val="20"/>
          <w:szCs w:val="20"/>
          <w:lang w:val="en-US"/>
        </w:rPr>
        <w:t>n order to</w:t>
      </w:r>
      <w:proofErr w:type="gramEnd"/>
      <w:r w:rsidR="00F00931" w:rsidRPr="00F92518">
        <w:rPr>
          <w:rFonts w:ascii="Times New Roman" w:hAnsi="Times New Roman" w:cs="Times New Roman"/>
          <w:sz w:val="20"/>
          <w:szCs w:val="20"/>
          <w:lang w:val="en-US"/>
        </w:rPr>
        <w:t xml:space="preserve"> examine the effect of </w:t>
      </w:r>
      <w:r w:rsidR="00CD14C9" w:rsidRPr="00F92518">
        <w:rPr>
          <w:rFonts w:ascii="Times New Roman" w:hAnsi="Times New Roman" w:cs="Times New Roman"/>
          <w:sz w:val="20"/>
          <w:szCs w:val="20"/>
          <w:lang w:val="en-US"/>
        </w:rPr>
        <w:t xml:space="preserve">accounting </w:t>
      </w:r>
      <w:r w:rsidR="00F00931" w:rsidRPr="00F92518">
        <w:rPr>
          <w:rFonts w:ascii="Times New Roman" w:hAnsi="Times New Roman" w:cs="Times New Roman"/>
          <w:sz w:val="20"/>
          <w:szCs w:val="20"/>
          <w:lang w:val="en-US"/>
        </w:rPr>
        <w:t>education on tax literacy</w:t>
      </w:r>
      <w:r w:rsidRPr="00F92518">
        <w:rPr>
          <w:rFonts w:ascii="Times New Roman" w:hAnsi="Times New Roman" w:cs="Times New Roman"/>
          <w:sz w:val="20"/>
          <w:szCs w:val="20"/>
          <w:lang w:val="en-US"/>
        </w:rPr>
        <w:t xml:space="preserve">, we exclude </w:t>
      </w:r>
      <w:proofErr w:type="spellStart"/>
      <w:r w:rsidRPr="00F92518">
        <w:rPr>
          <w:rFonts w:ascii="Times New Roman" w:hAnsi="Times New Roman" w:cs="Times New Roman"/>
          <w:i/>
          <w:sz w:val="20"/>
          <w:szCs w:val="20"/>
          <w:lang w:val="en-US"/>
        </w:rPr>
        <w:t>FinLit</w:t>
      </w:r>
      <w:proofErr w:type="spellEnd"/>
      <w:r w:rsidRPr="00F92518">
        <w:rPr>
          <w:rFonts w:ascii="Times New Roman" w:hAnsi="Times New Roman" w:cs="Times New Roman"/>
          <w:iCs/>
          <w:sz w:val="20"/>
          <w:szCs w:val="20"/>
          <w:lang w:val="en-US"/>
        </w:rPr>
        <w:t xml:space="preserve"> from the dependent variable list in Model 2</w:t>
      </w:r>
      <w:r w:rsidR="00CD14C9" w:rsidRPr="00F92518">
        <w:rPr>
          <w:rFonts w:ascii="Times New Roman" w:hAnsi="Times New Roman" w:cs="Times New Roman"/>
          <w:iCs/>
          <w:sz w:val="20"/>
          <w:szCs w:val="20"/>
          <w:lang w:val="en-US"/>
        </w:rPr>
        <w:t xml:space="preserve"> and</w:t>
      </w:r>
      <w:r w:rsidR="008E1320" w:rsidRPr="00F92518">
        <w:rPr>
          <w:rFonts w:ascii="Times New Roman" w:hAnsi="Times New Roman" w:cs="Times New Roman"/>
          <w:sz w:val="20"/>
          <w:szCs w:val="20"/>
          <w:lang w:val="en-US"/>
        </w:rPr>
        <w:t xml:space="preserve"> include</w:t>
      </w:r>
      <w:r w:rsidR="00CD14C9" w:rsidRPr="00F92518">
        <w:rPr>
          <w:rFonts w:ascii="Times New Roman" w:hAnsi="Times New Roman" w:cs="Times New Roman"/>
          <w:sz w:val="20"/>
          <w:szCs w:val="20"/>
          <w:lang w:val="en-US"/>
        </w:rPr>
        <w:t xml:space="preserve"> two</w:t>
      </w:r>
      <w:r w:rsidR="00E17923" w:rsidRPr="00F92518">
        <w:rPr>
          <w:rFonts w:ascii="Times New Roman" w:hAnsi="Times New Roman" w:cs="Times New Roman"/>
          <w:sz w:val="20"/>
          <w:szCs w:val="20"/>
          <w:lang w:val="en-US"/>
        </w:rPr>
        <w:t xml:space="preserve"> dichotomous variables for </w:t>
      </w:r>
      <w:r w:rsidR="008E1320" w:rsidRPr="00F92518">
        <w:rPr>
          <w:rFonts w:ascii="Times New Roman" w:hAnsi="Times New Roman" w:cs="Times New Roman"/>
          <w:sz w:val="20"/>
          <w:szCs w:val="20"/>
          <w:lang w:val="en-US"/>
        </w:rPr>
        <w:t>a</w:t>
      </w:r>
      <w:r w:rsidR="00274D77" w:rsidRPr="00F92518">
        <w:rPr>
          <w:rFonts w:ascii="Times New Roman" w:hAnsi="Times New Roman" w:cs="Times New Roman"/>
          <w:sz w:val="20"/>
          <w:szCs w:val="20"/>
          <w:lang w:val="en-US"/>
        </w:rPr>
        <w:t xml:space="preserve">ccounting education, specifically </w:t>
      </w:r>
      <w:proofErr w:type="spellStart"/>
      <w:r w:rsidR="00E17923" w:rsidRPr="00F92518">
        <w:rPr>
          <w:rFonts w:ascii="Times New Roman" w:hAnsi="Times New Roman" w:cs="Times New Roman"/>
          <w:i/>
          <w:sz w:val="20"/>
          <w:szCs w:val="20"/>
          <w:lang w:val="en-US"/>
        </w:rPr>
        <w:t>IntroAcctg</w:t>
      </w:r>
      <w:proofErr w:type="spellEnd"/>
      <w:r w:rsidR="00274D77" w:rsidRPr="00F92518">
        <w:rPr>
          <w:rFonts w:ascii="Times New Roman" w:hAnsi="Times New Roman" w:cs="Times New Roman"/>
          <w:sz w:val="20"/>
          <w:szCs w:val="20"/>
          <w:lang w:val="en-US"/>
        </w:rPr>
        <w:t xml:space="preserve"> (financial and managerial accounting for all business school students) and </w:t>
      </w:r>
      <w:proofErr w:type="spellStart"/>
      <w:r w:rsidR="00E17923" w:rsidRPr="00F92518">
        <w:rPr>
          <w:rFonts w:ascii="Times New Roman" w:hAnsi="Times New Roman" w:cs="Times New Roman"/>
          <w:i/>
          <w:sz w:val="20"/>
          <w:szCs w:val="20"/>
          <w:lang w:val="en-US"/>
        </w:rPr>
        <w:t>UpperAcctg</w:t>
      </w:r>
      <w:proofErr w:type="spellEnd"/>
      <w:r w:rsidR="00E17923" w:rsidRPr="00F92518">
        <w:rPr>
          <w:rFonts w:ascii="Times New Roman" w:hAnsi="Times New Roman" w:cs="Times New Roman"/>
          <w:sz w:val="20"/>
          <w:szCs w:val="20"/>
          <w:lang w:val="en-US"/>
        </w:rPr>
        <w:t xml:space="preserve"> </w:t>
      </w:r>
      <w:r w:rsidR="00274D77" w:rsidRPr="00F92518">
        <w:rPr>
          <w:rFonts w:ascii="Times New Roman" w:hAnsi="Times New Roman" w:cs="Times New Roman"/>
          <w:sz w:val="20"/>
          <w:szCs w:val="20"/>
          <w:lang w:val="en-US"/>
        </w:rPr>
        <w:t>(intermediate accounting and cost accounting)</w:t>
      </w:r>
      <w:r w:rsidR="0079346F" w:rsidRPr="00F92518">
        <w:rPr>
          <w:rFonts w:ascii="Times New Roman" w:hAnsi="Times New Roman" w:cs="Times New Roman"/>
          <w:sz w:val="20"/>
          <w:szCs w:val="20"/>
          <w:lang w:val="en-US"/>
        </w:rPr>
        <w:t xml:space="preserve">. </w:t>
      </w:r>
      <w:r w:rsidR="00E17923" w:rsidRPr="00F92518">
        <w:rPr>
          <w:rFonts w:ascii="Times New Roman" w:hAnsi="Times New Roman" w:cs="Times New Roman"/>
          <w:sz w:val="20"/>
          <w:szCs w:val="20"/>
          <w:lang w:val="en-US"/>
        </w:rPr>
        <w:t xml:space="preserve">The results show that </w:t>
      </w:r>
      <w:r w:rsidR="00194C56" w:rsidRPr="00F92518">
        <w:rPr>
          <w:rFonts w:ascii="Times New Roman" w:hAnsi="Times New Roman" w:cs="Times New Roman"/>
          <w:sz w:val="20"/>
          <w:szCs w:val="20"/>
          <w:lang w:val="en-US"/>
        </w:rPr>
        <w:t xml:space="preserve">the coefficient for </w:t>
      </w:r>
      <w:proofErr w:type="spellStart"/>
      <w:r w:rsidR="00194C56" w:rsidRPr="00F92518">
        <w:rPr>
          <w:rFonts w:ascii="Times New Roman" w:hAnsi="Times New Roman" w:cs="Times New Roman"/>
          <w:i/>
          <w:sz w:val="20"/>
          <w:szCs w:val="20"/>
          <w:lang w:val="en-US"/>
        </w:rPr>
        <w:t>IntroAcctg</w:t>
      </w:r>
      <w:proofErr w:type="spellEnd"/>
      <w:r w:rsidR="00194C56" w:rsidRPr="00F92518">
        <w:rPr>
          <w:rFonts w:ascii="Times New Roman" w:hAnsi="Times New Roman" w:cs="Times New Roman"/>
          <w:sz w:val="20"/>
          <w:szCs w:val="20"/>
          <w:lang w:val="en-US"/>
        </w:rPr>
        <w:t xml:space="preserve"> is not significant but the coefficient for </w:t>
      </w:r>
      <w:proofErr w:type="spellStart"/>
      <w:r w:rsidR="00194C56" w:rsidRPr="00F92518">
        <w:rPr>
          <w:rFonts w:ascii="Times New Roman" w:hAnsi="Times New Roman" w:cs="Times New Roman"/>
          <w:i/>
          <w:sz w:val="20"/>
          <w:szCs w:val="20"/>
          <w:lang w:val="en-US"/>
        </w:rPr>
        <w:t>UpperAcctg</w:t>
      </w:r>
      <w:proofErr w:type="spellEnd"/>
      <w:r w:rsidR="00194C56" w:rsidRPr="00F92518">
        <w:rPr>
          <w:rFonts w:ascii="Times New Roman" w:hAnsi="Times New Roman" w:cs="Times New Roman"/>
          <w:sz w:val="20"/>
          <w:szCs w:val="20"/>
          <w:lang w:val="en-US"/>
        </w:rPr>
        <w:t xml:space="preserve"> is positive and significant. </w:t>
      </w:r>
      <w:r w:rsidR="004963FA" w:rsidRPr="00F92518">
        <w:rPr>
          <w:rFonts w:ascii="Times New Roman" w:hAnsi="Times New Roman" w:cs="Times New Roman"/>
          <w:sz w:val="20"/>
          <w:szCs w:val="20"/>
          <w:lang w:val="en-US"/>
        </w:rPr>
        <w:t xml:space="preserve">Therefore, introductory accounting courses do not </w:t>
      </w:r>
      <w:r w:rsidR="00E17923" w:rsidRPr="00F92518">
        <w:rPr>
          <w:rFonts w:ascii="Times New Roman" w:hAnsi="Times New Roman" w:cs="Times New Roman"/>
          <w:sz w:val="20"/>
          <w:szCs w:val="20"/>
          <w:lang w:val="en-US"/>
        </w:rPr>
        <w:t xml:space="preserve">seem to </w:t>
      </w:r>
      <w:r w:rsidR="004963FA" w:rsidRPr="00F92518">
        <w:rPr>
          <w:rFonts w:ascii="Times New Roman" w:hAnsi="Times New Roman" w:cs="Times New Roman"/>
          <w:sz w:val="20"/>
          <w:szCs w:val="20"/>
          <w:lang w:val="en-US"/>
        </w:rPr>
        <w:t xml:space="preserve">help students to learn about tax. </w:t>
      </w:r>
      <w:r w:rsidR="00B30199" w:rsidRPr="00F92518">
        <w:rPr>
          <w:rFonts w:ascii="Times New Roman" w:hAnsi="Times New Roman" w:cs="Times New Roman"/>
          <w:i/>
          <w:sz w:val="20"/>
          <w:szCs w:val="20"/>
          <w:lang w:val="en-US"/>
        </w:rPr>
        <w:t>Age</w:t>
      </w:r>
      <w:r w:rsidR="00B30199" w:rsidRPr="00F92518">
        <w:rPr>
          <w:rFonts w:ascii="Times New Roman" w:hAnsi="Times New Roman" w:cs="Times New Roman"/>
          <w:sz w:val="20"/>
          <w:szCs w:val="20"/>
          <w:lang w:val="en-US"/>
        </w:rPr>
        <w:t xml:space="preserve"> becomes only weakly significant and the coefficient decreases from 0.</w:t>
      </w:r>
      <w:r w:rsidR="008172A0" w:rsidRPr="00F92518">
        <w:rPr>
          <w:rFonts w:ascii="Times New Roman" w:hAnsi="Times New Roman" w:cs="Times New Roman"/>
          <w:sz w:val="20"/>
          <w:szCs w:val="20"/>
          <w:lang w:val="en-US"/>
        </w:rPr>
        <w:t>0</w:t>
      </w:r>
      <w:r w:rsidR="00B30199" w:rsidRPr="00F92518">
        <w:rPr>
          <w:rFonts w:ascii="Times New Roman" w:hAnsi="Times New Roman" w:cs="Times New Roman"/>
          <w:sz w:val="20"/>
          <w:szCs w:val="20"/>
          <w:lang w:val="en-US"/>
        </w:rPr>
        <w:t xml:space="preserve">70 </w:t>
      </w:r>
      <w:r w:rsidR="00E17923" w:rsidRPr="00F92518">
        <w:rPr>
          <w:rFonts w:ascii="Times New Roman" w:hAnsi="Times New Roman" w:cs="Times New Roman"/>
          <w:sz w:val="20"/>
          <w:szCs w:val="20"/>
          <w:lang w:val="en-US"/>
        </w:rPr>
        <w:t xml:space="preserve">in Model 1 </w:t>
      </w:r>
      <w:r w:rsidR="00B30199" w:rsidRPr="00F92518">
        <w:rPr>
          <w:rFonts w:ascii="Times New Roman" w:hAnsi="Times New Roman" w:cs="Times New Roman"/>
          <w:sz w:val="20"/>
          <w:szCs w:val="20"/>
          <w:lang w:val="en-US"/>
        </w:rPr>
        <w:t>to 0.</w:t>
      </w:r>
      <w:r w:rsidR="008172A0" w:rsidRPr="00F92518">
        <w:rPr>
          <w:rFonts w:ascii="Times New Roman" w:hAnsi="Times New Roman" w:cs="Times New Roman"/>
          <w:sz w:val="20"/>
          <w:szCs w:val="20"/>
          <w:lang w:val="en-US"/>
        </w:rPr>
        <w:t>0</w:t>
      </w:r>
      <w:r w:rsidR="00B30199" w:rsidRPr="00F92518">
        <w:rPr>
          <w:rFonts w:ascii="Times New Roman" w:hAnsi="Times New Roman" w:cs="Times New Roman"/>
          <w:sz w:val="20"/>
          <w:szCs w:val="20"/>
          <w:lang w:val="en-US"/>
        </w:rPr>
        <w:t xml:space="preserve">56 </w:t>
      </w:r>
      <w:r w:rsidR="00E17923" w:rsidRPr="00F92518">
        <w:rPr>
          <w:rFonts w:ascii="Times New Roman" w:hAnsi="Times New Roman" w:cs="Times New Roman"/>
          <w:sz w:val="20"/>
          <w:szCs w:val="20"/>
          <w:lang w:val="en-US"/>
        </w:rPr>
        <w:t xml:space="preserve">in Model 2 </w:t>
      </w:r>
      <w:r w:rsidR="00B30199" w:rsidRPr="00F92518">
        <w:rPr>
          <w:rFonts w:ascii="Times New Roman" w:hAnsi="Times New Roman" w:cs="Times New Roman"/>
          <w:sz w:val="20"/>
          <w:szCs w:val="20"/>
          <w:lang w:val="en-US"/>
        </w:rPr>
        <w:t xml:space="preserve">after accounting education variables are included, suggesting that the significance of </w:t>
      </w:r>
      <w:r w:rsidR="00B30199" w:rsidRPr="00F92518">
        <w:rPr>
          <w:rFonts w:ascii="Times New Roman" w:hAnsi="Times New Roman" w:cs="Times New Roman"/>
          <w:i/>
          <w:sz w:val="20"/>
          <w:szCs w:val="20"/>
          <w:lang w:val="en-US"/>
        </w:rPr>
        <w:t>Age</w:t>
      </w:r>
      <w:r w:rsidR="00B30199" w:rsidRPr="00F92518">
        <w:rPr>
          <w:rFonts w:ascii="Times New Roman" w:hAnsi="Times New Roman" w:cs="Times New Roman"/>
          <w:sz w:val="20"/>
          <w:szCs w:val="20"/>
          <w:lang w:val="en-US"/>
        </w:rPr>
        <w:t xml:space="preserve"> is </w:t>
      </w:r>
      <w:r w:rsidR="004963FA" w:rsidRPr="00F92518">
        <w:rPr>
          <w:rFonts w:ascii="Times New Roman" w:hAnsi="Times New Roman" w:cs="Times New Roman"/>
          <w:sz w:val="20"/>
          <w:szCs w:val="20"/>
          <w:lang w:val="en-US"/>
        </w:rPr>
        <w:t xml:space="preserve">taken away when the regression has variables to separate students by seniority. </w:t>
      </w:r>
      <w:proofErr w:type="spellStart"/>
      <w:r w:rsidR="0079346F" w:rsidRPr="00F92518">
        <w:rPr>
          <w:rFonts w:ascii="Times New Roman" w:hAnsi="Times New Roman" w:cs="Times New Roman"/>
          <w:i/>
          <w:sz w:val="20"/>
          <w:szCs w:val="20"/>
          <w:lang w:val="en-US"/>
        </w:rPr>
        <w:t>FinExp</w:t>
      </w:r>
      <w:proofErr w:type="spellEnd"/>
      <w:r w:rsidR="0079346F" w:rsidRPr="00F92518">
        <w:rPr>
          <w:rFonts w:ascii="Times New Roman" w:hAnsi="Times New Roman" w:cs="Times New Roman"/>
          <w:sz w:val="20"/>
          <w:szCs w:val="20"/>
          <w:lang w:val="en-US"/>
        </w:rPr>
        <w:t xml:space="preserve"> </w:t>
      </w:r>
      <w:r w:rsidR="00194C56" w:rsidRPr="00F92518">
        <w:rPr>
          <w:rFonts w:ascii="Times New Roman" w:hAnsi="Times New Roman" w:cs="Times New Roman"/>
          <w:sz w:val="20"/>
          <w:szCs w:val="20"/>
          <w:lang w:val="en-US"/>
        </w:rPr>
        <w:t>continues to be significant and positive</w:t>
      </w:r>
      <w:r w:rsidR="004963FA" w:rsidRPr="00F92518">
        <w:rPr>
          <w:rFonts w:ascii="Times New Roman" w:hAnsi="Times New Roman" w:cs="Times New Roman"/>
          <w:sz w:val="20"/>
          <w:szCs w:val="20"/>
          <w:lang w:val="en-US"/>
        </w:rPr>
        <w:t xml:space="preserve"> (coefficient 0.43, </w:t>
      </w:r>
      <w:r w:rsidR="004963FA" w:rsidRPr="00F92518">
        <w:rPr>
          <w:rFonts w:ascii="Times New Roman" w:hAnsi="Times New Roman" w:cs="Times New Roman"/>
          <w:i/>
          <w:sz w:val="20"/>
          <w:szCs w:val="20"/>
          <w:lang w:val="en-US"/>
        </w:rPr>
        <w:t>p</w:t>
      </w:r>
      <w:r w:rsidR="004963FA" w:rsidRPr="00F92518">
        <w:rPr>
          <w:rFonts w:ascii="Times New Roman" w:hAnsi="Times New Roman" w:cs="Times New Roman"/>
          <w:sz w:val="20"/>
          <w:szCs w:val="20"/>
          <w:lang w:val="en-US"/>
        </w:rPr>
        <w:t>-value&lt;0.01)</w:t>
      </w:r>
      <w:r w:rsidR="00194C56" w:rsidRPr="00F92518">
        <w:rPr>
          <w:rFonts w:ascii="Times New Roman" w:hAnsi="Times New Roman" w:cs="Times New Roman"/>
          <w:sz w:val="20"/>
          <w:szCs w:val="20"/>
          <w:lang w:val="en-US"/>
        </w:rPr>
        <w:t>.</w:t>
      </w:r>
      <w:r w:rsidR="00F92518">
        <w:rPr>
          <w:rFonts w:ascii="Times New Roman" w:hAnsi="Times New Roman" w:cs="Times New Roman"/>
          <w:sz w:val="20"/>
          <w:szCs w:val="20"/>
          <w:lang w:val="en-US"/>
        </w:rPr>
        <w:t xml:space="preserve">  </w:t>
      </w:r>
    </w:p>
    <w:p w14:paraId="676DAA05" w14:textId="77777777" w:rsidR="00F92518" w:rsidRPr="00F92518" w:rsidRDefault="00F92518" w:rsidP="00C45D4F">
      <w:pPr>
        <w:rPr>
          <w:rFonts w:ascii="Times New Roman" w:hAnsi="Times New Roman" w:cs="Times New Roman"/>
          <w:sz w:val="20"/>
          <w:szCs w:val="20"/>
          <w:lang w:val="en-US"/>
        </w:rPr>
      </w:pPr>
    </w:p>
    <w:p w14:paraId="04A4CC56" w14:textId="57ED05CD" w:rsidR="004E3E42" w:rsidRDefault="00CD14C9" w:rsidP="00C45D4F">
      <w:pPr>
        <w:rPr>
          <w:rFonts w:ascii="Times New Roman" w:hAnsi="Times New Roman" w:cs="Times New Roman"/>
          <w:sz w:val="20"/>
          <w:szCs w:val="20"/>
          <w:lang w:val="en-US"/>
        </w:rPr>
      </w:pPr>
      <w:r w:rsidRPr="00F92518">
        <w:rPr>
          <w:rFonts w:ascii="Times New Roman" w:hAnsi="Times New Roman" w:cs="Times New Roman"/>
          <w:sz w:val="20"/>
          <w:szCs w:val="20"/>
          <w:lang w:val="en-US"/>
        </w:rPr>
        <w:t>To capture the effect of tax education on tax literacy, i</w:t>
      </w:r>
      <w:r w:rsidR="004963FA" w:rsidRPr="00F92518">
        <w:rPr>
          <w:rFonts w:ascii="Times New Roman" w:hAnsi="Times New Roman" w:cs="Times New Roman"/>
          <w:sz w:val="20"/>
          <w:szCs w:val="20"/>
          <w:lang w:val="en-US"/>
        </w:rPr>
        <w:t xml:space="preserve">n Model 3, we </w:t>
      </w:r>
      <w:r w:rsidRPr="00F92518">
        <w:rPr>
          <w:rFonts w:ascii="Times New Roman" w:hAnsi="Times New Roman" w:cs="Times New Roman"/>
          <w:sz w:val="20"/>
          <w:szCs w:val="20"/>
          <w:lang w:val="en-US"/>
        </w:rPr>
        <w:t xml:space="preserve">replace the dichotomous variables of accounting education with two </w:t>
      </w:r>
      <w:r w:rsidR="00E17923" w:rsidRPr="00F92518">
        <w:rPr>
          <w:rFonts w:ascii="Times New Roman" w:hAnsi="Times New Roman" w:cs="Times New Roman"/>
          <w:sz w:val="20"/>
          <w:szCs w:val="20"/>
          <w:lang w:val="en-US"/>
        </w:rPr>
        <w:t xml:space="preserve"> dichotomous variables of </w:t>
      </w:r>
      <w:r w:rsidR="004963FA" w:rsidRPr="00F92518">
        <w:rPr>
          <w:rFonts w:ascii="Times New Roman" w:hAnsi="Times New Roman" w:cs="Times New Roman"/>
          <w:sz w:val="20"/>
          <w:szCs w:val="20"/>
          <w:lang w:val="en-US"/>
        </w:rPr>
        <w:t>t</w:t>
      </w:r>
      <w:r w:rsidR="00274D77" w:rsidRPr="00F92518">
        <w:rPr>
          <w:rFonts w:ascii="Times New Roman" w:hAnsi="Times New Roman" w:cs="Times New Roman"/>
          <w:sz w:val="20"/>
          <w:szCs w:val="20"/>
          <w:lang w:val="en-US"/>
        </w:rPr>
        <w:t xml:space="preserve">ax education, specifically the </w:t>
      </w:r>
      <w:proofErr w:type="spellStart"/>
      <w:r w:rsidR="00E17923" w:rsidRPr="00F92518">
        <w:rPr>
          <w:rFonts w:ascii="Times New Roman" w:hAnsi="Times New Roman" w:cs="Times New Roman"/>
          <w:i/>
          <w:sz w:val="20"/>
          <w:szCs w:val="20"/>
          <w:lang w:val="en-US"/>
        </w:rPr>
        <w:t>IntroTax</w:t>
      </w:r>
      <w:proofErr w:type="spellEnd"/>
      <w:r w:rsidR="00274D77" w:rsidRPr="00F92518">
        <w:rPr>
          <w:rFonts w:ascii="Times New Roman" w:hAnsi="Times New Roman" w:cs="Times New Roman"/>
          <w:sz w:val="20"/>
          <w:szCs w:val="20"/>
          <w:lang w:val="en-US"/>
        </w:rPr>
        <w:t xml:space="preserve"> (individual income </w:t>
      </w:r>
      <w:r w:rsidR="00274D77" w:rsidRPr="00F92518">
        <w:rPr>
          <w:rFonts w:ascii="Times New Roman" w:hAnsi="Times New Roman" w:cs="Times New Roman"/>
          <w:sz w:val="20"/>
          <w:szCs w:val="20"/>
          <w:lang w:val="en-US"/>
        </w:rPr>
        <w:lastRenderedPageBreak/>
        <w:t xml:space="preserve">tax and property transactions) and </w:t>
      </w:r>
      <w:proofErr w:type="spellStart"/>
      <w:r w:rsidR="00E17923" w:rsidRPr="00F92518">
        <w:rPr>
          <w:rFonts w:ascii="Times New Roman" w:hAnsi="Times New Roman" w:cs="Times New Roman"/>
          <w:i/>
          <w:sz w:val="20"/>
          <w:szCs w:val="20"/>
          <w:lang w:val="en-US"/>
        </w:rPr>
        <w:t>UpperTax</w:t>
      </w:r>
      <w:proofErr w:type="spellEnd"/>
      <w:r w:rsidR="00274D77" w:rsidRPr="00F92518">
        <w:rPr>
          <w:rFonts w:ascii="Times New Roman" w:hAnsi="Times New Roman" w:cs="Times New Roman"/>
          <w:sz w:val="20"/>
          <w:szCs w:val="20"/>
          <w:lang w:val="en-US"/>
        </w:rPr>
        <w:t xml:space="preserve"> (tax on business entities)</w:t>
      </w:r>
      <w:r w:rsidRPr="00F92518">
        <w:rPr>
          <w:rFonts w:ascii="Times New Roman" w:hAnsi="Times New Roman" w:cs="Times New Roman"/>
          <w:sz w:val="20"/>
          <w:szCs w:val="20"/>
          <w:lang w:val="en-US"/>
        </w:rPr>
        <w:t xml:space="preserve">. </w:t>
      </w:r>
      <w:r w:rsidR="0050109A" w:rsidRPr="00F92518">
        <w:rPr>
          <w:rFonts w:ascii="Times New Roman" w:hAnsi="Times New Roman" w:cs="Times New Roman"/>
          <w:sz w:val="20"/>
          <w:szCs w:val="20"/>
          <w:lang w:val="en-US"/>
        </w:rPr>
        <w:t xml:space="preserve">The coefficient for </w:t>
      </w:r>
      <w:proofErr w:type="spellStart"/>
      <w:r w:rsidR="0050109A" w:rsidRPr="00F92518">
        <w:rPr>
          <w:rFonts w:ascii="Times New Roman" w:hAnsi="Times New Roman" w:cs="Times New Roman"/>
          <w:i/>
          <w:sz w:val="20"/>
          <w:szCs w:val="20"/>
          <w:lang w:val="en-US"/>
        </w:rPr>
        <w:t>IntroTax</w:t>
      </w:r>
      <w:proofErr w:type="spellEnd"/>
      <w:r w:rsidR="0050109A" w:rsidRPr="00F92518">
        <w:rPr>
          <w:rFonts w:ascii="Times New Roman" w:hAnsi="Times New Roman" w:cs="Times New Roman"/>
          <w:sz w:val="20"/>
          <w:szCs w:val="20"/>
          <w:lang w:val="en-US"/>
        </w:rPr>
        <w:t xml:space="preserve"> is positive and weakly significant (0.091, </w:t>
      </w:r>
      <w:r w:rsidR="0050109A" w:rsidRPr="00F92518">
        <w:rPr>
          <w:rFonts w:ascii="Times New Roman" w:hAnsi="Times New Roman" w:cs="Times New Roman"/>
          <w:i/>
          <w:sz w:val="20"/>
          <w:szCs w:val="20"/>
          <w:lang w:val="en-US"/>
        </w:rPr>
        <w:t>p</w:t>
      </w:r>
      <w:r w:rsidR="0050109A" w:rsidRPr="00F92518">
        <w:rPr>
          <w:rFonts w:ascii="Times New Roman" w:hAnsi="Times New Roman" w:cs="Times New Roman"/>
          <w:sz w:val="20"/>
          <w:szCs w:val="20"/>
          <w:lang w:val="en-US"/>
        </w:rPr>
        <w:t xml:space="preserve">-value&lt;0.10), and the coefficient for </w:t>
      </w:r>
      <w:proofErr w:type="spellStart"/>
      <w:r w:rsidR="0050109A" w:rsidRPr="00F92518">
        <w:rPr>
          <w:rFonts w:ascii="Times New Roman" w:hAnsi="Times New Roman" w:cs="Times New Roman"/>
          <w:i/>
          <w:sz w:val="20"/>
          <w:szCs w:val="20"/>
          <w:lang w:val="en-US"/>
        </w:rPr>
        <w:t>UpperTax</w:t>
      </w:r>
      <w:proofErr w:type="spellEnd"/>
      <w:r w:rsidR="0050109A" w:rsidRPr="00F92518">
        <w:rPr>
          <w:rFonts w:ascii="Times New Roman" w:hAnsi="Times New Roman" w:cs="Times New Roman"/>
          <w:sz w:val="20"/>
          <w:szCs w:val="20"/>
          <w:lang w:val="en-US"/>
        </w:rPr>
        <w:t xml:space="preserve"> is positive and significant (0.21, </w:t>
      </w:r>
      <w:r w:rsidR="0050109A" w:rsidRPr="00F92518">
        <w:rPr>
          <w:rFonts w:ascii="Times New Roman" w:hAnsi="Times New Roman" w:cs="Times New Roman"/>
          <w:i/>
          <w:sz w:val="20"/>
          <w:szCs w:val="20"/>
          <w:lang w:val="en-US"/>
        </w:rPr>
        <w:t>p</w:t>
      </w:r>
      <w:r w:rsidR="0050109A" w:rsidRPr="00F92518">
        <w:rPr>
          <w:rFonts w:ascii="Times New Roman" w:hAnsi="Times New Roman" w:cs="Times New Roman"/>
          <w:sz w:val="20"/>
          <w:szCs w:val="20"/>
          <w:lang w:val="en-US"/>
        </w:rPr>
        <w:t xml:space="preserve">-value&lt;0.01). </w:t>
      </w:r>
      <w:r w:rsidR="0050109A" w:rsidRPr="00F92518">
        <w:rPr>
          <w:rFonts w:ascii="Times New Roman" w:hAnsi="Times New Roman" w:cs="Times New Roman"/>
          <w:i/>
          <w:sz w:val="20"/>
          <w:szCs w:val="20"/>
          <w:lang w:val="en-US"/>
        </w:rPr>
        <w:t>Age</w:t>
      </w:r>
      <w:r w:rsidR="0050109A" w:rsidRPr="00F92518">
        <w:rPr>
          <w:rFonts w:ascii="Times New Roman" w:hAnsi="Times New Roman" w:cs="Times New Roman"/>
          <w:sz w:val="20"/>
          <w:szCs w:val="20"/>
          <w:lang w:val="en-US"/>
        </w:rPr>
        <w:t xml:space="preserve"> becomes insignificant when </w:t>
      </w:r>
      <w:proofErr w:type="spellStart"/>
      <w:r w:rsidR="0050109A" w:rsidRPr="00F92518">
        <w:rPr>
          <w:rFonts w:ascii="Times New Roman" w:hAnsi="Times New Roman" w:cs="Times New Roman"/>
          <w:i/>
          <w:sz w:val="20"/>
          <w:szCs w:val="20"/>
          <w:lang w:val="en-US"/>
        </w:rPr>
        <w:t>IntroTax</w:t>
      </w:r>
      <w:proofErr w:type="spellEnd"/>
      <w:r w:rsidR="0050109A" w:rsidRPr="00F92518">
        <w:rPr>
          <w:rFonts w:ascii="Times New Roman" w:hAnsi="Times New Roman" w:cs="Times New Roman"/>
          <w:sz w:val="20"/>
          <w:szCs w:val="20"/>
          <w:lang w:val="en-US"/>
        </w:rPr>
        <w:t xml:space="preserve"> and </w:t>
      </w:r>
      <w:proofErr w:type="spellStart"/>
      <w:r w:rsidR="0050109A" w:rsidRPr="00F92518">
        <w:rPr>
          <w:rFonts w:ascii="Times New Roman" w:hAnsi="Times New Roman" w:cs="Times New Roman"/>
          <w:i/>
          <w:sz w:val="20"/>
          <w:szCs w:val="20"/>
          <w:lang w:val="en-US"/>
        </w:rPr>
        <w:t>UpperTax</w:t>
      </w:r>
      <w:proofErr w:type="spellEnd"/>
      <w:r w:rsidR="0050109A" w:rsidRPr="00F92518">
        <w:rPr>
          <w:rFonts w:ascii="Times New Roman" w:hAnsi="Times New Roman" w:cs="Times New Roman"/>
          <w:sz w:val="20"/>
          <w:szCs w:val="20"/>
          <w:lang w:val="en-US"/>
        </w:rPr>
        <w:t xml:space="preserve"> are introduced. T</w:t>
      </w:r>
      <w:r w:rsidR="006506C2" w:rsidRPr="00F92518">
        <w:rPr>
          <w:rFonts w:ascii="Times New Roman" w:hAnsi="Times New Roman" w:cs="Times New Roman"/>
          <w:sz w:val="20"/>
          <w:szCs w:val="20"/>
          <w:lang w:val="en-US"/>
        </w:rPr>
        <w:t>h</w:t>
      </w:r>
      <w:r w:rsidR="0050109A" w:rsidRPr="00F92518">
        <w:rPr>
          <w:rFonts w:ascii="Times New Roman" w:hAnsi="Times New Roman" w:cs="Times New Roman"/>
          <w:sz w:val="20"/>
          <w:szCs w:val="20"/>
          <w:lang w:val="en-US"/>
        </w:rPr>
        <w:t xml:space="preserve">e coefficients for </w:t>
      </w:r>
      <w:proofErr w:type="spellStart"/>
      <w:r w:rsidR="0050109A" w:rsidRPr="00F92518">
        <w:rPr>
          <w:rFonts w:ascii="Times New Roman" w:hAnsi="Times New Roman" w:cs="Times New Roman"/>
          <w:i/>
          <w:sz w:val="20"/>
          <w:szCs w:val="20"/>
          <w:lang w:val="en-US"/>
        </w:rPr>
        <w:t>SoftwareFile</w:t>
      </w:r>
      <w:proofErr w:type="spellEnd"/>
      <w:r w:rsidR="0050109A" w:rsidRPr="00F92518">
        <w:rPr>
          <w:rFonts w:ascii="Times New Roman" w:hAnsi="Times New Roman" w:cs="Times New Roman"/>
          <w:sz w:val="20"/>
          <w:szCs w:val="20"/>
          <w:lang w:val="en-US"/>
        </w:rPr>
        <w:t xml:space="preserve"> and </w:t>
      </w:r>
      <w:proofErr w:type="spellStart"/>
      <w:r w:rsidR="0050109A" w:rsidRPr="00F92518">
        <w:rPr>
          <w:rFonts w:ascii="Times New Roman" w:hAnsi="Times New Roman" w:cs="Times New Roman"/>
          <w:i/>
          <w:sz w:val="20"/>
          <w:szCs w:val="20"/>
          <w:lang w:val="en-US"/>
        </w:rPr>
        <w:t>FinExp</w:t>
      </w:r>
      <w:proofErr w:type="spellEnd"/>
      <w:r w:rsidR="0050109A" w:rsidRPr="00F92518">
        <w:rPr>
          <w:rFonts w:ascii="Times New Roman" w:hAnsi="Times New Roman" w:cs="Times New Roman"/>
          <w:sz w:val="20"/>
          <w:szCs w:val="20"/>
          <w:lang w:val="en-US"/>
        </w:rPr>
        <w:t xml:space="preserve"> continue to be positive and significant and that of </w:t>
      </w:r>
      <w:proofErr w:type="spellStart"/>
      <w:r w:rsidR="0050109A" w:rsidRPr="00F92518">
        <w:rPr>
          <w:rFonts w:ascii="Times New Roman" w:hAnsi="Times New Roman" w:cs="Times New Roman"/>
          <w:i/>
          <w:sz w:val="20"/>
          <w:szCs w:val="20"/>
          <w:lang w:val="en-US"/>
        </w:rPr>
        <w:t>WrkExp</w:t>
      </w:r>
      <w:proofErr w:type="spellEnd"/>
      <w:r w:rsidR="0050109A" w:rsidRPr="00F92518">
        <w:rPr>
          <w:rFonts w:ascii="Times New Roman" w:hAnsi="Times New Roman" w:cs="Times New Roman"/>
          <w:sz w:val="20"/>
          <w:szCs w:val="20"/>
          <w:lang w:val="en-US"/>
        </w:rPr>
        <w:t xml:space="preserve"> continues to be negative and significant.</w:t>
      </w:r>
      <w:r w:rsidR="00F92518">
        <w:rPr>
          <w:rFonts w:ascii="Times New Roman" w:hAnsi="Times New Roman" w:cs="Times New Roman"/>
          <w:sz w:val="20"/>
          <w:szCs w:val="20"/>
          <w:lang w:val="en-US"/>
        </w:rPr>
        <w:t xml:space="preserve">  </w:t>
      </w:r>
    </w:p>
    <w:p w14:paraId="5301D24B" w14:textId="77777777" w:rsidR="00F92518" w:rsidRPr="00F92518" w:rsidRDefault="00F92518" w:rsidP="00C45D4F">
      <w:pPr>
        <w:rPr>
          <w:rFonts w:ascii="Times New Roman" w:hAnsi="Times New Roman" w:cs="Times New Roman"/>
          <w:sz w:val="20"/>
          <w:szCs w:val="20"/>
          <w:lang w:val="en-US"/>
        </w:rPr>
      </w:pPr>
    </w:p>
    <w:p w14:paraId="2F46F665" w14:textId="1A4B3FE1" w:rsidR="005B0316" w:rsidRDefault="005B0316" w:rsidP="00C45D4F">
      <w:pPr>
        <w:rPr>
          <w:rFonts w:ascii="Times New Roman" w:hAnsi="Times New Roman" w:cs="Times New Roman"/>
          <w:sz w:val="20"/>
          <w:szCs w:val="20"/>
          <w:lang w:val="en-US"/>
        </w:rPr>
      </w:pPr>
      <w:r w:rsidRPr="00F92518">
        <w:rPr>
          <w:rFonts w:ascii="Times New Roman" w:hAnsi="Times New Roman" w:cs="Times New Roman"/>
          <w:sz w:val="20"/>
          <w:szCs w:val="20"/>
          <w:lang w:val="en-US"/>
        </w:rPr>
        <w:t xml:space="preserve">In </w:t>
      </w:r>
      <w:r w:rsidR="00CD14C9" w:rsidRPr="00F92518">
        <w:rPr>
          <w:rFonts w:ascii="Times New Roman" w:hAnsi="Times New Roman" w:cs="Times New Roman"/>
          <w:sz w:val="20"/>
          <w:szCs w:val="20"/>
          <w:lang w:val="en-US"/>
        </w:rPr>
        <w:t xml:space="preserve">the comprehensive </w:t>
      </w:r>
      <w:r w:rsidRPr="00F92518">
        <w:rPr>
          <w:rFonts w:ascii="Times New Roman" w:hAnsi="Times New Roman" w:cs="Times New Roman"/>
          <w:sz w:val="20"/>
          <w:szCs w:val="20"/>
          <w:lang w:val="en-US"/>
        </w:rPr>
        <w:t xml:space="preserve">Model 4, </w:t>
      </w:r>
      <w:r w:rsidR="00AA072A" w:rsidRPr="00F92518">
        <w:rPr>
          <w:rFonts w:ascii="Times New Roman" w:hAnsi="Times New Roman" w:cs="Times New Roman"/>
          <w:sz w:val="20"/>
          <w:szCs w:val="20"/>
          <w:lang w:val="en-US"/>
        </w:rPr>
        <w:t>all</w:t>
      </w:r>
      <w:r w:rsidR="006A15BC" w:rsidRPr="00F92518">
        <w:rPr>
          <w:rFonts w:ascii="Times New Roman" w:hAnsi="Times New Roman" w:cs="Times New Roman"/>
          <w:sz w:val="20"/>
          <w:szCs w:val="20"/>
          <w:lang w:val="en-US"/>
        </w:rPr>
        <w:t xml:space="preserve"> education variables are included</w:t>
      </w:r>
      <w:r w:rsidRPr="00F92518">
        <w:rPr>
          <w:rFonts w:ascii="Times New Roman" w:hAnsi="Times New Roman" w:cs="Times New Roman"/>
          <w:sz w:val="20"/>
          <w:szCs w:val="20"/>
          <w:lang w:val="en-US"/>
        </w:rPr>
        <w:t xml:space="preserve">. The coefficients of </w:t>
      </w:r>
      <w:proofErr w:type="spellStart"/>
      <w:r w:rsidR="006506C2" w:rsidRPr="00F92518">
        <w:rPr>
          <w:rFonts w:ascii="Times New Roman" w:hAnsi="Times New Roman" w:cs="Times New Roman"/>
          <w:i/>
          <w:sz w:val="20"/>
          <w:szCs w:val="20"/>
          <w:lang w:val="en-US"/>
        </w:rPr>
        <w:t>I</w:t>
      </w:r>
      <w:r w:rsidRPr="00F92518">
        <w:rPr>
          <w:rFonts w:ascii="Times New Roman" w:hAnsi="Times New Roman" w:cs="Times New Roman"/>
          <w:i/>
          <w:sz w:val="20"/>
          <w:szCs w:val="20"/>
          <w:lang w:val="en-US"/>
        </w:rPr>
        <w:t>ntroAcctg</w:t>
      </w:r>
      <w:proofErr w:type="spellEnd"/>
      <w:r w:rsidRPr="00F92518">
        <w:rPr>
          <w:rFonts w:ascii="Times New Roman" w:hAnsi="Times New Roman" w:cs="Times New Roman"/>
          <w:sz w:val="20"/>
          <w:szCs w:val="20"/>
          <w:lang w:val="en-US"/>
        </w:rPr>
        <w:t xml:space="preserve"> and </w:t>
      </w:r>
      <w:proofErr w:type="spellStart"/>
      <w:r w:rsidRPr="00F92518">
        <w:rPr>
          <w:rFonts w:ascii="Times New Roman" w:hAnsi="Times New Roman" w:cs="Times New Roman"/>
          <w:i/>
          <w:sz w:val="20"/>
          <w:szCs w:val="20"/>
          <w:lang w:val="en-US"/>
        </w:rPr>
        <w:t>UpperAcctg</w:t>
      </w:r>
      <w:proofErr w:type="spellEnd"/>
      <w:r w:rsidRPr="00F92518">
        <w:rPr>
          <w:rFonts w:ascii="Times New Roman" w:hAnsi="Times New Roman" w:cs="Times New Roman"/>
          <w:sz w:val="20"/>
          <w:szCs w:val="20"/>
          <w:lang w:val="en-US"/>
        </w:rPr>
        <w:t xml:space="preserve"> are insignificant, and the coefficient for </w:t>
      </w:r>
      <w:proofErr w:type="spellStart"/>
      <w:r w:rsidRPr="00F92518">
        <w:rPr>
          <w:rFonts w:ascii="Times New Roman" w:hAnsi="Times New Roman" w:cs="Times New Roman"/>
          <w:i/>
          <w:sz w:val="20"/>
          <w:szCs w:val="20"/>
          <w:lang w:val="en-US"/>
        </w:rPr>
        <w:t>IntroTax</w:t>
      </w:r>
      <w:proofErr w:type="spellEnd"/>
      <w:r w:rsidRPr="00F92518">
        <w:rPr>
          <w:rFonts w:ascii="Times New Roman" w:hAnsi="Times New Roman" w:cs="Times New Roman"/>
          <w:sz w:val="20"/>
          <w:szCs w:val="20"/>
          <w:lang w:val="en-US"/>
        </w:rPr>
        <w:t xml:space="preserve"> is also insignificant. </w:t>
      </w:r>
      <w:r w:rsidR="006A15BC" w:rsidRPr="00F92518">
        <w:rPr>
          <w:rFonts w:ascii="Times New Roman" w:hAnsi="Times New Roman" w:cs="Times New Roman"/>
          <w:sz w:val="20"/>
          <w:szCs w:val="20"/>
          <w:lang w:val="en-US"/>
        </w:rPr>
        <w:t xml:space="preserve">The coefficient for </w:t>
      </w:r>
      <w:proofErr w:type="spellStart"/>
      <w:r w:rsidR="006A15BC" w:rsidRPr="00F92518">
        <w:rPr>
          <w:rFonts w:ascii="Times New Roman" w:hAnsi="Times New Roman" w:cs="Times New Roman"/>
          <w:i/>
          <w:sz w:val="20"/>
          <w:szCs w:val="20"/>
          <w:lang w:val="en-US"/>
        </w:rPr>
        <w:t>UpperTax</w:t>
      </w:r>
      <w:proofErr w:type="spellEnd"/>
      <w:r w:rsidR="006A15BC" w:rsidRPr="00F92518">
        <w:rPr>
          <w:rFonts w:ascii="Times New Roman" w:hAnsi="Times New Roman" w:cs="Times New Roman"/>
          <w:sz w:val="20"/>
          <w:szCs w:val="20"/>
          <w:lang w:val="en-US"/>
        </w:rPr>
        <w:t xml:space="preserve"> is </w:t>
      </w:r>
      <w:r w:rsidR="006506C2" w:rsidRPr="00F92518">
        <w:rPr>
          <w:rFonts w:ascii="Times New Roman" w:hAnsi="Times New Roman" w:cs="Times New Roman"/>
          <w:sz w:val="20"/>
          <w:szCs w:val="20"/>
          <w:lang w:val="en-US"/>
        </w:rPr>
        <w:t xml:space="preserve">positive and </w:t>
      </w:r>
      <w:r w:rsidR="006A15BC" w:rsidRPr="00F92518">
        <w:rPr>
          <w:rFonts w:ascii="Times New Roman" w:hAnsi="Times New Roman" w:cs="Times New Roman"/>
          <w:sz w:val="20"/>
          <w:szCs w:val="20"/>
          <w:lang w:val="en-US"/>
        </w:rPr>
        <w:t>significant (0.1</w:t>
      </w:r>
      <w:r w:rsidR="006506C2" w:rsidRPr="00F92518">
        <w:rPr>
          <w:rFonts w:ascii="Times New Roman" w:hAnsi="Times New Roman" w:cs="Times New Roman"/>
          <w:sz w:val="20"/>
          <w:szCs w:val="20"/>
          <w:lang w:val="en-US"/>
        </w:rPr>
        <w:t>6</w:t>
      </w:r>
      <w:r w:rsidR="006A15BC" w:rsidRPr="00F92518">
        <w:rPr>
          <w:rFonts w:ascii="Times New Roman" w:hAnsi="Times New Roman" w:cs="Times New Roman"/>
          <w:sz w:val="20"/>
          <w:szCs w:val="20"/>
          <w:lang w:val="en-US"/>
        </w:rPr>
        <w:t xml:space="preserve">, </w:t>
      </w:r>
      <w:r w:rsidR="006A15BC" w:rsidRPr="00F92518">
        <w:rPr>
          <w:rFonts w:ascii="Times New Roman" w:hAnsi="Times New Roman" w:cs="Times New Roman"/>
          <w:i/>
          <w:sz w:val="20"/>
          <w:szCs w:val="20"/>
          <w:lang w:val="en-US"/>
        </w:rPr>
        <w:t>p</w:t>
      </w:r>
      <w:r w:rsidR="006A15BC" w:rsidRPr="00F92518">
        <w:rPr>
          <w:rFonts w:ascii="Times New Roman" w:hAnsi="Times New Roman" w:cs="Times New Roman"/>
          <w:sz w:val="20"/>
          <w:szCs w:val="20"/>
          <w:lang w:val="en-US"/>
        </w:rPr>
        <w:t>-value&lt;0.05)</w:t>
      </w:r>
      <w:r w:rsidR="006506C2" w:rsidRPr="00F92518">
        <w:rPr>
          <w:rFonts w:ascii="Times New Roman" w:hAnsi="Times New Roman" w:cs="Times New Roman"/>
          <w:sz w:val="20"/>
          <w:szCs w:val="20"/>
          <w:lang w:val="en-US"/>
        </w:rPr>
        <w:t xml:space="preserve">, suggesting that </w:t>
      </w:r>
      <w:proofErr w:type="gramStart"/>
      <w:r w:rsidR="00E17923" w:rsidRPr="00F92518">
        <w:rPr>
          <w:rFonts w:ascii="Times New Roman" w:hAnsi="Times New Roman" w:cs="Times New Roman"/>
          <w:sz w:val="20"/>
          <w:szCs w:val="20"/>
          <w:lang w:val="en-US"/>
        </w:rPr>
        <w:t>upper level</w:t>
      </w:r>
      <w:proofErr w:type="gramEnd"/>
      <w:r w:rsidR="00E17923" w:rsidRPr="00F92518">
        <w:rPr>
          <w:rFonts w:ascii="Times New Roman" w:hAnsi="Times New Roman" w:cs="Times New Roman"/>
          <w:sz w:val="20"/>
          <w:szCs w:val="20"/>
          <w:lang w:val="en-US"/>
        </w:rPr>
        <w:t xml:space="preserve"> accounting courses such as intermediate and cost accounting do not have an impact on respondents’ tax literacy.</w:t>
      </w:r>
      <w:r w:rsidR="00940257" w:rsidRPr="00F92518">
        <w:rPr>
          <w:rFonts w:ascii="Times New Roman" w:hAnsi="Times New Roman" w:cs="Times New Roman"/>
          <w:sz w:val="20"/>
          <w:szCs w:val="20"/>
          <w:lang w:val="en-US"/>
        </w:rPr>
        <w:t xml:space="preserve"> Model 4 also shows that when considering </w:t>
      </w:r>
      <w:proofErr w:type="gramStart"/>
      <w:r w:rsidR="00940257" w:rsidRPr="00F92518">
        <w:rPr>
          <w:rFonts w:ascii="Times New Roman" w:hAnsi="Times New Roman" w:cs="Times New Roman"/>
          <w:sz w:val="20"/>
          <w:szCs w:val="20"/>
          <w:lang w:val="en-US"/>
        </w:rPr>
        <w:t>effects</w:t>
      </w:r>
      <w:proofErr w:type="gramEnd"/>
      <w:r w:rsidR="00940257" w:rsidRPr="00F92518">
        <w:rPr>
          <w:rFonts w:ascii="Times New Roman" w:hAnsi="Times New Roman" w:cs="Times New Roman"/>
          <w:sz w:val="20"/>
          <w:szCs w:val="20"/>
          <w:lang w:val="en-US"/>
        </w:rPr>
        <w:t xml:space="preserve"> of accounting and tax education, students who have taken </w:t>
      </w:r>
      <w:proofErr w:type="gramStart"/>
      <w:r w:rsidR="00940257" w:rsidRPr="00F92518">
        <w:rPr>
          <w:rFonts w:ascii="Times New Roman" w:hAnsi="Times New Roman" w:cs="Times New Roman"/>
          <w:sz w:val="20"/>
          <w:szCs w:val="20"/>
          <w:lang w:val="en-US"/>
        </w:rPr>
        <w:t>upper level</w:t>
      </w:r>
      <w:proofErr w:type="gramEnd"/>
      <w:r w:rsidR="00940257" w:rsidRPr="00F92518">
        <w:rPr>
          <w:rFonts w:ascii="Times New Roman" w:hAnsi="Times New Roman" w:cs="Times New Roman"/>
          <w:sz w:val="20"/>
          <w:szCs w:val="20"/>
          <w:lang w:val="en-US"/>
        </w:rPr>
        <w:t xml:space="preserve"> tax courses have higher tax literacy. </w:t>
      </w:r>
      <w:r w:rsidR="00783B36" w:rsidRPr="00F92518">
        <w:rPr>
          <w:rFonts w:ascii="Times New Roman" w:hAnsi="Times New Roman" w:cs="Times New Roman"/>
          <w:sz w:val="20"/>
          <w:szCs w:val="20"/>
          <w:lang w:val="en-US"/>
        </w:rPr>
        <w:t>Other control variables continue to have the same signs and significance levels as in Models 2 and 3.</w:t>
      </w:r>
      <w:r w:rsidR="00F92518">
        <w:rPr>
          <w:rFonts w:ascii="Times New Roman" w:hAnsi="Times New Roman" w:cs="Times New Roman"/>
          <w:sz w:val="20"/>
          <w:szCs w:val="20"/>
          <w:lang w:val="en-US"/>
        </w:rPr>
        <w:t xml:space="preserve">  </w:t>
      </w:r>
    </w:p>
    <w:p w14:paraId="3A566C07" w14:textId="77777777" w:rsidR="00F92518" w:rsidRPr="00F92518" w:rsidRDefault="00F92518" w:rsidP="00C45D4F">
      <w:pPr>
        <w:rPr>
          <w:rFonts w:ascii="Times New Roman" w:hAnsi="Times New Roman" w:cs="Times New Roman"/>
          <w:sz w:val="20"/>
          <w:szCs w:val="20"/>
          <w:lang w:val="en-US"/>
        </w:rPr>
      </w:pPr>
    </w:p>
    <w:p w14:paraId="205C51C9" w14:textId="4475A1D2" w:rsidR="00940257" w:rsidRDefault="00940257" w:rsidP="00C45D4F">
      <w:pPr>
        <w:rPr>
          <w:rFonts w:ascii="Times New Roman" w:hAnsi="Times New Roman" w:cs="Times New Roman"/>
          <w:sz w:val="20"/>
          <w:szCs w:val="20"/>
          <w:lang w:val="en-US"/>
        </w:rPr>
      </w:pPr>
      <w:r w:rsidRPr="00F92518">
        <w:rPr>
          <w:rFonts w:ascii="Times New Roman" w:hAnsi="Times New Roman" w:cs="Times New Roman"/>
          <w:sz w:val="20"/>
          <w:szCs w:val="20"/>
          <w:lang w:val="en-US"/>
        </w:rPr>
        <w:t xml:space="preserve">In Model 5, we include </w:t>
      </w:r>
      <w:proofErr w:type="spellStart"/>
      <w:r w:rsidRPr="00F92518">
        <w:rPr>
          <w:rFonts w:ascii="Times New Roman" w:hAnsi="Times New Roman" w:cs="Times New Roman"/>
          <w:i/>
          <w:sz w:val="20"/>
          <w:szCs w:val="20"/>
          <w:lang w:val="en-US"/>
        </w:rPr>
        <w:t>FinLit</w:t>
      </w:r>
      <w:proofErr w:type="spellEnd"/>
      <w:r w:rsidRPr="00F92518">
        <w:rPr>
          <w:rFonts w:ascii="Times New Roman" w:hAnsi="Times New Roman" w:cs="Times New Roman"/>
          <w:sz w:val="20"/>
          <w:szCs w:val="20"/>
          <w:lang w:val="en-US"/>
        </w:rPr>
        <w:t xml:space="preserve"> and all the education variables in the regression. The coefficient for </w:t>
      </w:r>
      <w:proofErr w:type="spellStart"/>
      <w:r w:rsidRPr="00F92518">
        <w:rPr>
          <w:rFonts w:ascii="Times New Roman" w:hAnsi="Times New Roman" w:cs="Times New Roman"/>
          <w:i/>
          <w:sz w:val="20"/>
          <w:szCs w:val="20"/>
          <w:lang w:val="en-US"/>
        </w:rPr>
        <w:t>FinLit</w:t>
      </w:r>
      <w:proofErr w:type="spellEnd"/>
      <w:r w:rsidRPr="00F92518">
        <w:rPr>
          <w:rFonts w:ascii="Times New Roman" w:hAnsi="Times New Roman" w:cs="Times New Roman"/>
          <w:sz w:val="20"/>
          <w:szCs w:val="20"/>
          <w:lang w:val="en-US"/>
        </w:rPr>
        <w:t xml:space="preserve"> is positive and significant (0.40, </w:t>
      </w:r>
      <w:r w:rsidRPr="00F92518">
        <w:rPr>
          <w:rFonts w:ascii="Times New Roman" w:hAnsi="Times New Roman" w:cs="Times New Roman"/>
          <w:i/>
          <w:sz w:val="20"/>
          <w:szCs w:val="20"/>
          <w:lang w:val="en-US"/>
        </w:rPr>
        <w:t>p</w:t>
      </w:r>
      <w:r w:rsidRPr="00F92518">
        <w:rPr>
          <w:rFonts w:ascii="Times New Roman" w:hAnsi="Times New Roman" w:cs="Times New Roman"/>
          <w:sz w:val="20"/>
          <w:szCs w:val="20"/>
          <w:lang w:val="en-US"/>
        </w:rPr>
        <w:t xml:space="preserve">-value&lt;0.01) when education variables are in the regression. The coefficient for </w:t>
      </w:r>
      <w:proofErr w:type="spellStart"/>
      <w:r w:rsidRPr="00F92518">
        <w:rPr>
          <w:rFonts w:ascii="Times New Roman" w:hAnsi="Times New Roman" w:cs="Times New Roman"/>
          <w:i/>
          <w:sz w:val="20"/>
          <w:szCs w:val="20"/>
          <w:lang w:val="en-US"/>
        </w:rPr>
        <w:t>IntroTax</w:t>
      </w:r>
      <w:proofErr w:type="spellEnd"/>
      <w:r w:rsidRPr="00F92518">
        <w:rPr>
          <w:rFonts w:ascii="Times New Roman" w:hAnsi="Times New Roman" w:cs="Times New Roman"/>
          <w:sz w:val="20"/>
          <w:szCs w:val="20"/>
          <w:lang w:val="en-US"/>
        </w:rPr>
        <w:t xml:space="preserve"> is positive and weakly significant (0.081, </w:t>
      </w:r>
      <w:r w:rsidRPr="00F92518">
        <w:rPr>
          <w:rFonts w:ascii="Times New Roman" w:hAnsi="Times New Roman" w:cs="Times New Roman"/>
          <w:i/>
          <w:sz w:val="20"/>
          <w:szCs w:val="20"/>
          <w:lang w:val="en-US"/>
        </w:rPr>
        <w:t>p</w:t>
      </w:r>
      <w:r w:rsidRPr="00F92518">
        <w:rPr>
          <w:rFonts w:ascii="Times New Roman" w:hAnsi="Times New Roman" w:cs="Times New Roman"/>
          <w:sz w:val="20"/>
          <w:szCs w:val="20"/>
          <w:lang w:val="en-US"/>
        </w:rPr>
        <w:t xml:space="preserve">-value&lt;0.10), and the coefficient for </w:t>
      </w:r>
      <w:proofErr w:type="spellStart"/>
      <w:r w:rsidRPr="00F92518">
        <w:rPr>
          <w:rFonts w:ascii="Times New Roman" w:hAnsi="Times New Roman" w:cs="Times New Roman"/>
          <w:i/>
          <w:sz w:val="20"/>
          <w:szCs w:val="20"/>
          <w:lang w:val="en-US"/>
        </w:rPr>
        <w:t>UpperTax</w:t>
      </w:r>
      <w:proofErr w:type="spellEnd"/>
      <w:r w:rsidRPr="00F92518">
        <w:rPr>
          <w:rFonts w:ascii="Times New Roman" w:hAnsi="Times New Roman" w:cs="Times New Roman"/>
          <w:sz w:val="20"/>
          <w:szCs w:val="20"/>
          <w:lang w:val="en-US"/>
        </w:rPr>
        <w:t xml:space="preserve"> is positive and significant (0.15, </w:t>
      </w:r>
      <w:r w:rsidRPr="00F92518">
        <w:rPr>
          <w:rFonts w:ascii="Times New Roman" w:hAnsi="Times New Roman" w:cs="Times New Roman"/>
          <w:i/>
          <w:sz w:val="20"/>
          <w:szCs w:val="20"/>
          <w:lang w:val="en-US"/>
        </w:rPr>
        <w:t>p</w:t>
      </w:r>
      <w:r w:rsidRPr="00F92518">
        <w:rPr>
          <w:rFonts w:ascii="Times New Roman" w:hAnsi="Times New Roman" w:cs="Times New Roman"/>
          <w:sz w:val="20"/>
          <w:szCs w:val="20"/>
          <w:lang w:val="en-US"/>
        </w:rPr>
        <w:t xml:space="preserve">-value&lt;0.01). The coefficients of </w:t>
      </w:r>
      <w:proofErr w:type="spellStart"/>
      <w:r w:rsidRPr="00F92518">
        <w:rPr>
          <w:rFonts w:ascii="Times New Roman" w:hAnsi="Times New Roman" w:cs="Times New Roman"/>
          <w:i/>
          <w:sz w:val="20"/>
          <w:szCs w:val="20"/>
          <w:lang w:val="en-US"/>
        </w:rPr>
        <w:t>IntroAcctg</w:t>
      </w:r>
      <w:proofErr w:type="spellEnd"/>
      <w:r w:rsidRPr="00F92518">
        <w:rPr>
          <w:rFonts w:ascii="Times New Roman" w:hAnsi="Times New Roman" w:cs="Times New Roman"/>
          <w:sz w:val="20"/>
          <w:szCs w:val="20"/>
          <w:lang w:val="en-US"/>
        </w:rPr>
        <w:t xml:space="preserve"> and </w:t>
      </w:r>
      <w:proofErr w:type="spellStart"/>
      <w:r w:rsidRPr="00F92518">
        <w:rPr>
          <w:rFonts w:ascii="Times New Roman" w:hAnsi="Times New Roman" w:cs="Times New Roman"/>
          <w:i/>
          <w:sz w:val="20"/>
          <w:szCs w:val="20"/>
          <w:lang w:val="en-US"/>
        </w:rPr>
        <w:t>UpperAcctg</w:t>
      </w:r>
      <w:proofErr w:type="spellEnd"/>
      <w:r w:rsidRPr="00F92518">
        <w:rPr>
          <w:rFonts w:ascii="Times New Roman" w:hAnsi="Times New Roman" w:cs="Times New Roman"/>
          <w:sz w:val="20"/>
          <w:szCs w:val="20"/>
          <w:lang w:val="en-US"/>
        </w:rPr>
        <w:t xml:space="preserve"> are insignificant. </w:t>
      </w:r>
      <w:r w:rsidR="00C177FB" w:rsidRPr="00F92518">
        <w:rPr>
          <w:rFonts w:ascii="Times New Roman" w:hAnsi="Times New Roman" w:cs="Times New Roman"/>
          <w:sz w:val="20"/>
          <w:szCs w:val="20"/>
          <w:lang w:val="en-US"/>
        </w:rPr>
        <w:t xml:space="preserve">The coefficient for </w:t>
      </w:r>
      <w:proofErr w:type="spellStart"/>
      <w:r w:rsidR="00C177FB" w:rsidRPr="00F92518">
        <w:rPr>
          <w:rFonts w:ascii="Times New Roman" w:hAnsi="Times New Roman" w:cs="Times New Roman"/>
          <w:i/>
          <w:sz w:val="20"/>
          <w:szCs w:val="20"/>
          <w:lang w:val="en-US"/>
        </w:rPr>
        <w:t>SoftwareFile</w:t>
      </w:r>
      <w:proofErr w:type="spellEnd"/>
      <w:r w:rsidR="00C177FB" w:rsidRPr="00F92518">
        <w:rPr>
          <w:rFonts w:ascii="Times New Roman" w:hAnsi="Times New Roman" w:cs="Times New Roman"/>
          <w:sz w:val="20"/>
          <w:szCs w:val="20"/>
          <w:lang w:val="en-US"/>
        </w:rPr>
        <w:t xml:space="preserve"> becomes weakly significant (0.70, p-value&lt;0.10). The coefficient for </w:t>
      </w:r>
      <w:proofErr w:type="spellStart"/>
      <w:r w:rsidR="00C177FB" w:rsidRPr="00F92518">
        <w:rPr>
          <w:rFonts w:ascii="Times New Roman" w:hAnsi="Times New Roman" w:cs="Times New Roman"/>
          <w:i/>
          <w:sz w:val="20"/>
          <w:szCs w:val="20"/>
          <w:lang w:val="en-US"/>
        </w:rPr>
        <w:t>FinExp</w:t>
      </w:r>
      <w:proofErr w:type="spellEnd"/>
      <w:r w:rsidR="00C177FB" w:rsidRPr="00F92518">
        <w:rPr>
          <w:rFonts w:ascii="Times New Roman" w:hAnsi="Times New Roman" w:cs="Times New Roman"/>
          <w:sz w:val="20"/>
          <w:szCs w:val="20"/>
          <w:lang w:val="en-US"/>
        </w:rPr>
        <w:t xml:space="preserve"> continue to be positive and significant and that of </w:t>
      </w:r>
      <w:proofErr w:type="spellStart"/>
      <w:r w:rsidR="00C177FB" w:rsidRPr="00F92518">
        <w:rPr>
          <w:rFonts w:ascii="Times New Roman" w:hAnsi="Times New Roman" w:cs="Times New Roman"/>
          <w:i/>
          <w:sz w:val="20"/>
          <w:szCs w:val="20"/>
          <w:lang w:val="en-US"/>
        </w:rPr>
        <w:t>WrkExp</w:t>
      </w:r>
      <w:proofErr w:type="spellEnd"/>
      <w:r w:rsidR="00C177FB" w:rsidRPr="00F92518">
        <w:rPr>
          <w:rFonts w:ascii="Times New Roman" w:hAnsi="Times New Roman" w:cs="Times New Roman"/>
          <w:sz w:val="20"/>
          <w:szCs w:val="20"/>
          <w:lang w:val="en-US"/>
        </w:rPr>
        <w:t xml:space="preserve"> continues to be negative and significant.</w:t>
      </w:r>
      <w:r w:rsidR="009E1DA9" w:rsidRPr="00F92518">
        <w:rPr>
          <w:rFonts w:ascii="Times New Roman" w:hAnsi="Times New Roman" w:cs="Times New Roman"/>
          <w:sz w:val="20"/>
          <w:szCs w:val="20"/>
          <w:lang w:val="en-US"/>
        </w:rPr>
        <w:t xml:space="preserve"> </w:t>
      </w:r>
      <w:r w:rsidR="00F92518">
        <w:rPr>
          <w:rFonts w:ascii="Times New Roman" w:hAnsi="Times New Roman" w:cs="Times New Roman"/>
          <w:sz w:val="20"/>
          <w:szCs w:val="20"/>
          <w:lang w:val="en-US"/>
        </w:rPr>
        <w:t xml:space="preserve"> </w:t>
      </w:r>
    </w:p>
    <w:p w14:paraId="2A05C547" w14:textId="77777777" w:rsidR="00CD14C9" w:rsidRPr="00F92518" w:rsidRDefault="00CD14C9" w:rsidP="00C45D4F">
      <w:pPr>
        <w:rPr>
          <w:rFonts w:ascii="Times New Roman" w:hAnsi="Times New Roman" w:cs="Times New Roman"/>
          <w:sz w:val="20"/>
          <w:szCs w:val="20"/>
          <w:lang w:val="en-US"/>
        </w:rPr>
      </w:pPr>
    </w:p>
    <w:p w14:paraId="276751A1" w14:textId="1673F373" w:rsidR="0036604B" w:rsidRDefault="00507FB2" w:rsidP="00C45D4F">
      <w:pPr>
        <w:rPr>
          <w:rFonts w:ascii="Times New Roman" w:eastAsia="Times New Roman" w:hAnsi="Times New Roman" w:cs="Times New Roman"/>
          <w:bCs/>
          <w:sz w:val="20"/>
          <w:szCs w:val="20"/>
          <w:lang w:val="en-US"/>
        </w:rPr>
      </w:pPr>
      <w:r w:rsidRPr="00F92518">
        <w:rPr>
          <w:rFonts w:ascii="Times New Roman" w:hAnsi="Times New Roman" w:cs="Times New Roman"/>
          <w:sz w:val="20"/>
          <w:szCs w:val="20"/>
          <w:lang w:val="en-US"/>
        </w:rPr>
        <w:t>Collectively, t</w:t>
      </w:r>
      <w:r w:rsidR="00BC511B" w:rsidRPr="00F92518">
        <w:rPr>
          <w:rFonts w:ascii="Times New Roman" w:hAnsi="Times New Roman" w:cs="Times New Roman"/>
          <w:sz w:val="20"/>
          <w:szCs w:val="20"/>
          <w:lang w:val="en-US"/>
        </w:rPr>
        <w:t>he result</w:t>
      </w:r>
      <w:r w:rsidR="007D03A7" w:rsidRPr="00F92518">
        <w:rPr>
          <w:rFonts w:ascii="Times New Roman" w:hAnsi="Times New Roman" w:cs="Times New Roman"/>
          <w:sz w:val="20"/>
          <w:szCs w:val="20"/>
          <w:lang w:val="en-US"/>
        </w:rPr>
        <w:t>s</w:t>
      </w:r>
      <w:r w:rsidR="00BC511B" w:rsidRPr="00F92518">
        <w:rPr>
          <w:rFonts w:ascii="Times New Roman" w:hAnsi="Times New Roman" w:cs="Times New Roman"/>
          <w:sz w:val="20"/>
          <w:szCs w:val="20"/>
          <w:lang w:val="en-US"/>
        </w:rPr>
        <w:t xml:space="preserve"> </w:t>
      </w:r>
      <w:r w:rsidR="00B341E6" w:rsidRPr="00F92518">
        <w:rPr>
          <w:rFonts w:ascii="Times New Roman" w:hAnsi="Times New Roman" w:cs="Times New Roman"/>
          <w:sz w:val="20"/>
          <w:szCs w:val="20"/>
          <w:lang w:val="en-US"/>
        </w:rPr>
        <w:t xml:space="preserve">in </w:t>
      </w:r>
      <w:r w:rsidR="000B14E2" w:rsidRPr="00F92518">
        <w:rPr>
          <w:rFonts w:ascii="Times New Roman" w:hAnsi="Times New Roman" w:cs="Times New Roman"/>
          <w:sz w:val="20"/>
          <w:szCs w:val="20"/>
          <w:lang w:val="en-US"/>
        </w:rPr>
        <w:t>Table 6</w:t>
      </w:r>
      <w:r w:rsidR="00B341E6" w:rsidRPr="00F92518">
        <w:rPr>
          <w:rFonts w:ascii="Times New Roman" w:hAnsi="Times New Roman" w:cs="Times New Roman"/>
          <w:sz w:val="20"/>
          <w:szCs w:val="20"/>
          <w:lang w:val="en-US"/>
        </w:rPr>
        <w:t xml:space="preserve"> </w:t>
      </w:r>
      <w:r w:rsidR="00963E3D" w:rsidRPr="00F92518">
        <w:rPr>
          <w:rFonts w:ascii="Times New Roman" w:hAnsi="Times New Roman" w:cs="Times New Roman"/>
          <w:sz w:val="20"/>
          <w:szCs w:val="20"/>
          <w:lang w:val="en-US"/>
        </w:rPr>
        <w:t xml:space="preserve">provide finding to our first hypothesis. We </w:t>
      </w:r>
      <w:r w:rsidR="003C7C94" w:rsidRPr="00F92518">
        <w:rPr>
          <w:rFonts w:ascii="Times New Roman" w:hAnsi="Times New Roman" w:cs="Times New Roman"/>
          <w:sz w:val="20"/>
          <w:szCs w:val="20"/>
          <w:lang w:val="en-US"/>
        </w:rPr>
        <w:t>show</w:t>
      </w:r>
      <w:r w:rsidR="00BC511B" w:rsidRPr="00F92518">
        <w:rPr>
          <w:rFonts w:ascii="Times New Roman" w:hAnsi="Times New Roman" w:cs="Times New Roman"/>
          <w:sz w:val="20"/>
          <w:szCs w:val="20"/>
          <w:lang w:val="en-US"/>
        </w:rPr>
        <w:t xml:space="preserve"> that </w:t>
      </w:r>
      <w:r w:rsidR="00E35876" w:rsidRPr="00F92518">
        <w:rPr>
          <w:rFonts w:ascii="Times New Roman" w:hAnsi="Times New Roman" w:cs="Times New Roman"/>
          <w:sz w:val="20"/>
          <w:szCs w:val="20"/>
          <w:lang w:val="en-US"/>
        </w:rPr>
        <w:t xml:space="preserve">tax </w:t>
      </w:r>
      <w:r w:rsidR="00ED032D" w:rsidRPr="00F92518">
        <w:rPr>
          <w:rFonts w:ascii="Times New Roman" w:hAnsi="Times New Roman" w:cs="Times New Roman"/>
          <w:sz w:val="20"/>
          <w:szCs w:val="20"/>
          <w:lang w:val="en-US"/>
        </w:rPr>
        <w:t>courses</w:t>
      </w:r>
      <w:r w:rsidR="00E35876" w:rsidRPr="00F92518">
        <w:rPr>
          <w:rFonts w:ascii="Times New Roman" w:hAnsi="Times New Roman" w:cs="Times New Roman"/>
          <w:sz w:val="20"/>
          <w:szCs w:val="20"/>
          <w:lang w:val="en-US"/>
        </w:rPr>
        <w:t xml:space="preserve"> help to improve respondents’ tax literacy and non-tax accounting </w:t>
      </w:r>
      <w:r w:rsidR="00ED032D" w:rsidRPr="00F92518">
        <w:rPr>
          <w:rFonts w:ascii="Times New Roman" w:hAnsi="Times New Roman" w:cs="Times New Roman"/>
          <w:sz w:val="20"/>
          <w:szCs w:val="20"/>
          <w:lang w:val="en-US"/>
        </w:rPr>
        <w:t>courses</w:t>
      </w:r>
      <w:r w:rsidR="00E35876" w:rsidRPr="00F92518">
        <w:rPr>
          <w:rFonts w:ascii="Times New Roman" w:hAnsi="Times New Roman" w:cs="Times New Roman"/>
          <w:sz w:val="20"/>
          <w:szCs w:val="20"/>
          <w:lang w:val="en-US"/>
        </w:rPr>
        <w:t xml:space="preserve"> do not. Specifically, the </w:t>
      </w:r>
      <w:r w:rsidR="00ED032D" w:rsidRPr="00F92518">
        <w:rPr>
          <w:rFonts w:ascii="Times New Roman" w:hAnsi="Times New Roman" w:cs="Times New Roman"/>
          <w:sz w:val="20"/>
          <w:szCs w:val="20"/>
          <w:lang w:val="en-US"/>
        </w:rPr>
        <w:t xml:space="preserve">more tax courses respondents take, the better the </w:t>
      </w:r>
      <w:r w:rsidR="00E35876" w:rsidRPr="00F92518">
        <w:rPr>
          <w:rFonts w:ascii="Times New Roman" w:hAnsi="Times New Roman" w:cs="Times New Roman"/>
          <w:sz w:val="20"/>
          <w:szCs w:val="20"/>
          <w:lang w:val="en-US"/>
        </w:rPr>
        <w:t xml:space="preserve">tax literacy. Moreover, </w:t>
      </w:r>
      <w:r w:rsidR="000B14E2" w:rsidRPr="00F92518">
        <w:rPr>
          <w:rFonts w:ascii="Times New Roman" w:hAnsi="Times New Roman" w:cs="Times New Roman"/>
          <w:sz w:val="20"/>
          <w:szCs w:val="20"/>
          <w:lang w:val="en-US"/>
        </w:rPr>
        <w:t>financial literacy is positive</w:t>
      </w:r>
      <w:r w:rsidRPr="00F92518">
        <w:rPr>
          <w:rFonts w:ascii="Times New Roman" w:hAnsi="Times New Roman" w:cs="Times New Roman"/>
          <w:sz w:val="20"/>
          <w:szCs w:val="20"/>
          <w:lang w:val="en-US"/>
        </w:rPr>
        <w:t xml:space="preserve">ly associated with </w:t>
      </w:r>
      <w:r w:rsidR="00ED032D" w:rsidRPr="00F92518">
        <w:rPr>
          <w:rFonts w:ascii="Times New Roman" w:hAnsi="Times New Roman" w:cs="Times New Roman"/>
          <w:sz w:val="20"/>
          <w:szCs w:val="20"/>
          <w:lang w:val="en-US"/>
        </w:rPr>
        <w:t xml:space="preserve">respondents’ </w:t>
      </w:r>
      <w:r w:rsidRPr="00F92518">
        <w:rPr>
          <w:rFonts w:ascii="Times New Roman" w:hAnsi="Times New Roman" w:cs="Times New Roman"/>
          <w:sz w:val="20"/>
          <w:szCs w:val="20"/>
          <w:lang w:val="en-US"/>
        </w:rPr>
        <w:t>tax literacy</w:t>
      </w:r>
      <w:r w:rsidR="00E35876" w:rsidRPr="00F92518">
        <w:rPr>
          <w:rFonts w:ascii="Times New Roman" w:hAnsi="Times New Roman" w:cs="Times New Roman"/>
          <w:sz w:val="20"/>
          <w:szCs w:val="20"/>
          <w:lang w:val="en-US"/>
        </w:rPr>
        <w:t xml:space="preserve"> </w:t>
      </w:r>
      <w:proofErr w:type="gramStart"/>
      <w:r w:rsidR="00783B36" w:rsidRPr="00F92518">
        <w:rPr>
          <w:rFonts w:ascii="Times New Roman" w:hAnsi="Times New Roman" w:cs="Times New Roman"/>
          <w:sz w:val="20"/>
          <w:szCs w:val="20"/>
          <w:lang w:val="en-US"/>
        </w:rPr>
        <w:t>regardless</w:t>
      </w:r>
      <w:proofErr w:type="gramEnd"/>
      <w:r w:rsidR="00E35876" w:rsidRPr="00F92518">
        <w:rPr>
          <w:rFonts w:ascii="Times New Roman" w:hAnsi="Times New Roman" w:cs="Times New Roman"/>
          <w:sz w:val="20"/>
          <w:szCs w:val="20"/>
          <w:lang w:val="en-US"/>
        </w:rPr>
        <w:t xml:space="preserve"> </w:t>
      </w:r>
      <w:r w:rsidR="00ED032D" w:rsidRPr="00F92518">
        <w:rPr>
          <w:rFonts w:ascii="Times New Roman" w:hAnsi="Times New Roman" w:cs="Times New Roman"/>
          <w:sz w:val="20"/>
          <w:szCs w:val="20"/>
          <w:lang w:val="en-US"/>
        </w:rPr>
        <w:t xml:space="preserve">their </w:t>
      </w:r>
      <w:r w:rsidR="00E35876" w:rsidRPr="00F92518">
        <w:rPr>
          <w:rFonts w:ascii="Times New Roman" w:hAnsi="Times New Roman" w:cs="Times New Roman"/>
          <w:sz w:val="20"/>
          <w:szCs w:val="20"/>
          <w:lang w:val="en-US"/>
        </w:rPr>
        <w:t>accounting or tax education</w:t>
      </w:r>
      <w:r w:rsidR="00724359" w:rsidRPr="00F92518">
        <w:rPr>
          <w:rFonts w:ascii="Times New Roman" w:eastAsia="Times New Roman" w:hAnsi="Times New Roman" w:cs="Times New Roman"/>
          <w:bCs/>
          <w:sz w:val="20"/>
          <w:szCs w:val="20"/>
          <w:lang w:val="en-US"/>
        </w:rPr>
        <w:t xml:space="preserve">. </w:t>
      </w:r>
      <w:proofErr w:type="gramStart"/>
      <w:r w:rsidRPr="00F92518">
        <w:rPr>
          <w:rFonts w:ascii="Times New Roman" w:eastAsia="Times New Roman" w:hAnsi="Times New Roman" w:cs="Times New Roman"/>
          <w:bCs/>
          <w:sz w:val="20"/>
          <w:szCs w:val="20"/>
          <w:lang w:val="en-US"/>
        </w:rPr>
        <w:t>Respondents’</w:t>
      </w:r>
      <w:proofErr w:type="gramEnd"/>
      <w:r w:rsidRPr="00F92518">
        <w:rPr>
          <w:rFonts w:ascii="Times New Roman" w:eastAsia="Times New Roman" w:hAnsi="Times New Roman" w:cs="Times New Roman"/>
          <w:bCs/>
          <w:sz w:val="20"/>
          <w:szCs w:val="20"/>
          <w:lang w:val="en-US"/>
        </w:rPr>
        <w:t xml:space="preserve"> off school experiences </w:t>
      </w:r>
      <w:r w:rsidR="00ED032D" w:rsidRPr="00F92518">
        <w:rPr>
          <w:rFonts w:ascii="Times New Roman" w:eastAsia="Times New Roman" w:hAnsi="Times New Roman" w:cs="Times New Roman"/>
          <w:bCs/>
          <w:sz w:val="20"/>
          <w:szCs w:val="20"/>
          <w:lang w:val="en-US"/>
        </w:rPr>
        <w:t xml:space="preserve">are also related to tax literacy. For example, </w:t>
      </w:r>
      <w:r w:rsidRPr="00F92518">
        <w:rPr>
          <w:rFonts w:ascii="Times New Roman" w:eastAsia="Times New Roman" w:hAnsi="Times New Roman" w:cs="Times New Roman"/>
          <w:bCs/>
          <w:sz w:val="20"/>
          <w:szCs w:val="20"/>
          <w:lang w:val="en-US"/>
        </w:rPr>
        <w:t>using a software to file a tax return (</w:t>
      </w:r>
      <w:proofErr w:type="spellStart"/>
      <w:r w:rsidRPr="00F92518">
        <w:rPr>
          <w:rFonts w:ascii="Times New Roman" w:eastAsia="Times New Roman" w:hAnsi="Times New Roman" w:cs="Times New Roman"/>
          <w:bCs/>
          <w:i/>
          <w:sz w:val="20"/>
          <w:szCs w:val="20"/>
          <w:lang w:val="en-US"/>
        </w:rPr>
        <w:t>SoftwareFile</w:t>
      </w:r>
      <w:proofErr w:type="spellEnd"/>
      <w:r w:rsidRPr="00F92518">
        <w:rPr>
          <w:rFonts w:ascii="Times New Roman" w:eastAsia="Times New Roman" w:hAnsi="Times New Roman" w:cs="Times New Roman"/>
          <w:bCs/>
          <w:sz w:val="20"/>
          <w:szCs w:val="20"/>
          <w:lang w:val="en-US"/>
        </w:rPr>
        <w:t>), financial experiences (</w:t>
      </w:r>
      <w:proofErr w:type="spellStart"/>
      <w:r w:rsidRPr="00F92518">
        <w:rPr>
          <w:rFonts w:ascii="Times New Roman" w:eastAsia="Times New Roman" w:hAnsi="Times New Roman" w:cs="Times New Roman"/>
          <w:bCs/>
          <w:i/>
          <w:iCs/>
          <w:sz w:val="20"/>
          <w:szCs w:val="20"/>
          <w:lang w:val="en-US"/>
        </w:rPr>
        <w:t>FinExp</w:t>
      </w:r>
      <w:proofErr w:type="spellEnd"/>
      <w:r w:rsidRPr="00F92518">
        <w:rPr>
          <w:rFonts w:ascii="Times New Roman" w:eastAsia="Times New Roman" w:hAnsi="Times New Roman" w:cs="Times New Roman"/>
          <w:bCs/>
          <w:iCs/>
          <w:sz w:val="20"/>
          <w:szCs w:val="20"/>
          <w:lang w:val="en-US"/>
        </w:rPr>
        <w:t>)</w:t>
      </w:r>
      <w:r w:rsidR="003C7C94" w:rsidRPr="00F92518">
        <w:rPr>
          <w:rFonts w:ascii="Times New Roman" w:eastAsia="Times New Roman" w:hAnsi="Times New Roman" w:cs="Times New Roman"/>
          <w:bCs/>
          <w:i/>
          <w:iCs/>
          <w:sz w:val="20"/>
          <w:szCs w:val="20"/>
          <w:lang w:val="en-US"/>
        </w:rPr>
        <w:t xml:space="preserve"> </w:t>
      </w:r>
      <w:r w:rsidR="003C7C94" w:rsidRPr="00F92518">
        <w:rPr>
          <w:rFonts w:ascii="Times New Roman" w:eastAsia="Times New Roman" w:hAnsi="Times New Roman" w:cs="Times New Roman"/>
          <w:bCs/>
          <w:sz w:val="20"/>
          <w:szCs w:val="20"/>
          <w:lang w:val="en-US"/>
        </w:rPr>
        <w:t>are</w:t>
      </w:r>
      <w:r w:rsidR="00D2257C" w:rsidRPr="00F92518">
        <w:rPr>
          <w:rFonts w:ascii="Times New Roman" w:eastAsia="Times New Roman" w:hAnsi="Times New Roman" w:cs="Times New Roman"/>
          <w:bCs/>
          <w:sz w:val="20"/>
          <w:szCs w:val="20"/>
          <w:lang w:val="en-US"/>
        </w:rPr>
        <w:t xml:space="preserve"> </w:t>
      </w:r>
      <w:r w:rsidR="00BC511B" w:rsidRPr="00F92518">
        <w:rPr>
          <w:rFonts w:ascii="Times New Roman" w:eastAsia="Times New Roman" w:hAnsi="Times New Roman" w:cs="Times New Roman"/>
          <w:bCs/>
          <w:sz w:val="20"/>
          <w:szCs w:val="20"/>
          <w:lang w:val="en-US"/>
        </w:rPr>
        <w:t xml:space="preserve">positively associated with </w:t>
      </w:r>
      <w:r w:rsidRPr="00F92518">
        <w:rPr>
          <w:rFonts w:ascii="Times New Roman" w:eastAsia="Times New Roman" w:hAnsi="Times New Roman" w:cs="Times New Roman"/>
          <w:bCs/>
          <w:sz w:val="20"/>
          <w:szCs w:val="20"/>
          <w:lang w:val="en-US"/>
        </w:rPr>
        <w:t xml:space="preserve">their </w:t>
      </w:r>
      <w:r w:rsidR="00BC511B" w:rsidRPr="00F92518">
        <w:rPr>
          <w:rFonts w:ascii="Times New Roman" w:eastAsia="Times New Roman" w:hAnsi="Times New Roman" w:cs="Times New Roman"/>
          <w:bCs/>
          <w:sz w:val="20"/>
          <w:szCs w:val="20"/>
          <w:lang w:val="en-US"/>
        </w:rPr>
        <w:t>tax literacy</w:t>
      </w:r>
      <w:r w:rsidRPr="00F92518">
        <w:rPr>
          <w:rFonts w:ascii="Times New Roman" w:eastAsia="Times New Roman" w:hAnsi="Times New Roman" w:cs="Times New Roman"/>
          <w:bCs/>
          <w:sz w:val="20"/>
          <w:szCs w:val="20"/>
          <w:lang w:val="en-US"/>
        </w:rPr>
        <w:t>, but the length of work experience (</w:t>
      </w:r>
      <w:proofErr w:type="spellStart"/>
      <w:r w:rsidRPr="00F92518">
        <w:rPr>
          <w:rFonts w:ascii="Times New Roman" w:eastAsia="Times New Roman" w:hAnsi="Times New Roman" w:cs="Times New Roman"/>
          <w:bCs/>
          <w:i/>
          <w:sz w:val="20"/>
          <w:szCs w:val="20"/>
          <w:lang w:val="en-US"/>
        </w:rPr>
        <w:t>WrkExp</w:t>
      </w:r>
      <w:proofErr w:type="spellEnd"/>
      <w:r w:rsidRPr="00F92518">
        <w:rPr>
          <w:rFonts w:ascii="Times New Roman" w:eastAsia="Times New Roman" w:hAnsi="Times New Roman" w:cs="Times New Roman"/>
          <w:bCs/>
          <w:sz w:val="20"/>
          <w:szCs w:val="20"/>
          <w:lang w:val="en-US"/>
        </w:rPr>
        <w:t>) is negatively associated with their tax literacy</w:t>
      </w:r>
      <w:r w:rsidR="003C7C94" w:rsidRPr="00F92518">
        <w:rPr>
          <w:rFonts w:ascii="Times New Roman" w:eastAsia="Times New Roman" w:hAnsi="Times New Roman" w:cs="Times New Roman"/>
          <w:bCs/>
          <w:sz w:val="20"/>
          <w:szCs w:val="20"/>
          <w:lang w:val="en-US"/>
        </w:rPr>
        <w:t xml:space="preserve">. </w:t>
      </w:r>
      <w:r w:rsidRPr="00F92518">
        <w:rPr>
          <w:rFonts w:ascii="Times New Roman" w:eastAsia="Times New Roman" w:hAnsi="Times New Roman" w:cs="Times New Roman"/>
          <w:bCs/>
          <w:sz w:val="20"/>
          <w:szCs w:val="20"/>
          <w:lang w:val="en-US"/>
        </w:rPr>
        <w:t xml:space="preserve">Other demographic variables such as </w:t>
      </w:r>
      <w:r w:rsidRPr="00F92518">
        <w:rPr>
          <w:rFonts w:ascii="Times New Roman" w:eastAsia="Times New Roman" w:hAnsi="Times New Roman" w:cs="Times New Roman"/>
          <w:bCs/>
          <w:i/>
          <w:sz w:val="20"/>
          <w:szCs w:val="20"/>
          <w:lang w:val="en-US"/>
        </w:rPr>
        <w:t>Age</w:t>
      </w:r>
      <w:r w:rsidRPr="00F92518">
        <w:rPr>
          <w:rFonts w:ascii="Times New Roman" w:eastAsia="Times New Roman" w:hAnsi="Times New Roman" w:cs="Times New Roman"/>
          <w:bCs/>
          <w:sz w:val="20"/>
          <w:szCs w:val="20"/>
          <w:lang w:val="en-US"/>
        </w:rPr>
        <w:t xml:space="preserve">, </w:t>
      </w:r>
      <w:r w:rsidRPr="00F92518">
        <w:rPr>
          <w:rFonts w:ascii="Times New Roman" w:eastAsia="Times New Roman" w:hAnsi="Times New Roman" w:cs="Times New Roman"/>
          <w:bCs/>
          <w:i/>
          <w:sz w:val="20"/>
          <w:szCs w:val="20"/>
          <w:lang w:val="en-US"/>
        </w:rPr>
        <w:t>Gender</w:t>
      </w:r>
      <w:r w:rsidRPr="00F92518">
        <w:rPr>
          <w:rFonts w:ascii="Times New Roman" w:eastAsia="Times New Roman" w:hAnsi="Times New Roman" w:cs="Times New Roman"/>
          <w:bCs/>
          <w:sz w:val="20"/>
          <w:szCs w:val="20"/>
          <w:lang w:val="en-US"/>
        </w:rPr>
        <w:t xml:space="preserve">, </w:t>
      </w:r>
      <w:r w:rsidRPr="00F92518">
        <w:rPr>
          <w:rFonts w:ascii="Times New Roman" w:eastAsia="Times New Roman" w:hAnsi="Times New Roman" w:cs="Times New Roman"/>
          <w:bCs/>
          <w:i/>
          <w:sz w:val="20"/>
          <w:szCs w:val="20"/>
          <w:lang w:val="en-US"/>
        </w:rPr>
        <w:t>Family</w:t>
      </w:r>
      <w:r w:rsidRPr="00F92518">
        <w:rPr>
          <w:rFonts w:ascii="Times New Roman" w:eastAsia="Times New Roman" w:hAnsi="Times New Roman" w:cs="Times New Roman"/>
          <w:bCs/>
          <w:sz w:val="20"/>
          <w:szCs w:val="20"/>
          <w:lang w:val="en-US"/>
        </w:rPr>
        <w:t xml:space="preserve">, and </w:t>
      </w:r>
      <w:r w:rsidRPr="00F92518">
        <w:rPr>
          <w:rFonts w:ascii="Times New Roman" w:eastAsia="Times New Roman" w:hAnsi="Times New Roman" w:cs="Times New Roman"/>
          <w:bCs/>
          <w:i/>
          <w:sz w:val="20"/>
          <w:szCs w:val="20"/>
          <w:lang w:val="en-US"/>
        </w:rPr>
        <w:t>Income</w:t>
      </w:r>
      <w:r w:rsidRPr="00F92518">
        <w:rPr>
          <w:rFonts w:ascii="Times New Roman" w:eastAsia="Times New Roman" w:hAnsi="Times New Roman" w:cs="Times New Roman"/>
          <w:bCs/>
          <w:sz w:val="20"/>
          <w:szCs w:val="20"/>
          <w:lang w:val="en-US"/>
        </w:rPr>
        <w:t xml:space="preserve"> are not related to students’ tax literacy. </w:t>
      </w:r>
      <w:r w:rsidR="00F92518">
        <w:rPr>
          <w:rFonts w:ascii="Times New Roman" w:eastAsia="Times New Roman" w:hAnsi="Times New Roman" w:cs="Times New Roman"/>
          <w:bCs/>
          <w:sz w:val="20"/>
          <w:szCs w:val="20"/>
          <w:lang w:val="en-US"/>
        </w:rPr>
        <w:t xml:space="preserve"> </w:t>
      </w:r>
    </w:p>
    <w:p w14:paraId="4558A814" w14:textId="77777777" w:rsidR="00F92518" w:rsidRPr="00F92518" w:rsidRDefault="00F92518" w:rsidP="00C45D4F">
      <w:pPr>
        <w:rPr>
          <w:rFonts w:ascii="Times New Roman" w:eastAsia="Times New Roman" w:hAnsi="Times New Roman" w:cs="Times New Roman"/>
          <w:sz w:val="20"/>
          <w:szCs w:val="20"/>
          <w:lang w:val="en-US"/>
        </w:rPr>
      </w:pPr>
    </w:p>
    <w:p w14:paraId="1C5BF978" w14:textId="1ED28C83" w:rsidR="00241CF5" w:rsidRDefault="00241CF5" w:rsidP="00C45D4F">
      <w:pPr>
        <w:rPr>
          <w:rFonts w:ascii="Times New Roman" w:hAnsi="Times New Roman" w:cs="Times New Roman"/>
          <w:bCs/>
          <w:sz w:val="20"/>
          <w:szCs w:val="20"/>
          <w:lang w:val="en-US"/>
        </w:rPr>
      </w:pPr>
      <w:r w:rsidRPr="00F92518">
        <w:rPr>
          <w:rFonts w:ascii="Times New Roman" w:hAnsi="Times New Roman" w:cs="Times New Roman"/>
          <w:bCs/>
          <w:sz w:val="20"/>
          <w:szCs w:val="20"/>
          <w:lang w:val="en-US"/>
        </w:rPr>
        <w:t xml:space="preserve">Next, we </w:t>
      </w:r>
      <w:r w:rsidR="004F1F33" w:rsidRPr="00F92518">
        <w:rPr>
          <w:rFonts w:ascii="Times New Roman" w:hAnsi="Times New Roman" w:cs="Times New Roman"/>
          <w:bCs/>
          <w:sz w:val="20"/>
          <w:szCs w:val="20"/>
          <w:lang w:val="en-US"/>
        </w:rPr>
        <w:t>use</w:t>
      </w:r>
      <w:r w:rsidR="00D2257C" w:rsidRPr="00F92518">
        <w:rPr>
          <w:rFonts w:ascii="Times New Roman" w:hAnsi="Times New Roman" w:cs="Times New Roman"/>
          <w:bCs/>
          <w:sz w:val="20"/>
          <w:szCs w:val="20"/>
          <w:lang w:val="en-US"/>
        </w:rPr>
        <w:t xml:space="preserve"> </w:t>
      </w:r>
      <w:r w:rsidR="004F1F33" w:rsidRPr="00F92518">
        <w:rPr>
          <w:rFonts w:ascii="Times New Roman" w:hAnsi="Times New Roman" w:cs="Times New Roman"/>
          <w:bCs/>
          <w:sz w:val="20"/>
          <w:szCs w:val="20"/>
          <w:lang w:val="en-US"/>
        </w:rPr>
        <w:t>the following</w:t>
      </w:r>
      <w:r w:rsidR="003E0F50" w:rsidRPr="00F92518">
        <w:rPr>
          <w:rFonts w:ascii="Times New Roman" w:hAnsi="Times New Roman" w:cs="Times New Roman"/>
          <w:bCs/>
          <w:sz w:val="20"/>
          <w:szCs w:val="20"/>
          <w:lang w:val="en-US"/>
        </w:rPr>
        <w:t xml:space="preserve"> </w:t>
      </w:r>
      <w:r w:rsidR="004F1F33" w:rsidRPr="00F92518">
        <w:rPr>
          <w:rFonts w:ascii="Times New Roman" w:hAnsi="Times New Roman" w:cs="Times New Roman"/>
          <w:bCs/>
          <w:sz w:val="20"/>
          <w:szCs w:val="20"/>
          <w:lang w:val="en-US"/>
        </w:rPr>
        <w:t>equation</w:t>
      </w:r>
      <w:r w:rsidR="003E0F50" w:rsidRPr="00F92518">
        <w:rPr>
          <w:rFonts w:ascii="Times New Roman" w:hAnsi="Times New Roman" w:cs="Times New Roman"/>
          <w:bCs/>
          <w:sz w:val="20"/>
          <w:szCs w:val="20"/>
          <w:lang w:val="en-US"/>
        </w:rPr>
        <w:t xml:space="preserve"> to test o</w:t>
      </w:r>
      <w:r w:rsidRPr="00F92518">
        <w:rPr>
          <w:rFonts w:ascii="Times New Roman" w:hAnsi="Times New Roman" w:cs="Times New Roman"/>
          <w:bCs/>
          <w:sz w:val="20"/>
          <w:szCs w:val="20"/>
          <w:lang w:val="en-US"/>
        </w:rPr>
        <w:t xml:space="preserve">ur </w:t>
      </w:r>
      <w:r w:rsidR="003E0F50" w:rsidRPr="00F92518">
        <w:rPr>
          <w:rFonts w:ascii="Times New Roman" w:hAnsi="Times New Roman" w:cs="Times New Roman"/>
          <w:bCs/>
          <w:sz w:val="20"/>
          <w:szCs w:val="20"/>
          <w:lang w:val="en-US"/>
        </w:rPr>
        <w:t>second</w:t>
      </w:r>
      <w:r w:rsidRPr="00F92518">
        <w:rPr>
          <w:rFonts w:ascii="Times New Roman" w:hAnsi="Times New Roman" w:cs="Times New Roman"/>
          <w:bCs/>
          <w:sz w:val="20"/>
          <w:szCs w:val="20"/>
          <w:lang w:val="en-US"/>
        </w:rPr>
        <w:t xml:space="preserve"> hypothesis </w:t>
      </w:r>
      <w:r w:rsidR="003E0F50" w:rsidRPr="00F92518">
        <w:rPr>
          <w:rFonts w:ascii="Times New Roman" w:hAnsi="Times New Roman" w:cs="Times New Roman"/>
          <w:bCs/>
          <w:sz w:val="20"/>
          <w:szCs w:val="20"/>
          <w:lang w:val="en-US"/>
        </w:rPr>
        <w:t xml:space="preserve">and </w:t>
      </w:r>
      <w:r w:rsidRPr="00F92518">
        <w:rPr>
          <w:rFonts w:ascii="Times New Roman" w:hAnsi="Times New Roman" w:cs="Times New Roman"/>
          <w:bCs/>
          <w:sz w:val="20"/>
          <w:szCs w:val="20"/>
          <w:lang w:val="en-US"/>
        </w:rPr>
        <w:t xml:space="preserve">examine the association between tax </w:t>
      </w:r>
      <w:r w:rsidR="003E0F50" w:rsidRPr="00F92518">
        <w:rPr>
          <w:rFonts w:ascii="Times New Roman" w:hAnsi="Times New Roman" w:cs="Times New Roman"/>
          <w:bCs/>
          <w:sz w:val="20"/>
          <w:szCs w:val="20"/>
          <w:lang w:val="en-US"/>
        </w:rPr>
        <w:t>confidence</w:t>
      </w:r>
      <w:r w:rsidR="00C00ACD" w:rsidRPr="00F92518">
        <w:rPr>
          <w:rFonts w:ascii="Times New Roman" w:hAnsi="Times New Roman" w:cs="Times New Roman"/>
          <w:bCs/>
          <w:sz w:val="20"/>
          <w:szCs w:val="20"/>
          <w:lang w:val="en-US"/>
        </w:rPr>
        <w:t xml:space="preserve"> and accounting/tax education</w:t>
      </w:r>
      <w:r w:rsidR="007D03A7" w:rsidRPr="00F92518">
        <w:rPr>
          <w:rFonts w:ascii="Times New Roman" w:hAnsi="Times New Roman" w:cs="Times New Roman"/>
          <w:bCs/>
          <w:sz w:val="20"/>
          <w:szCs w:val="20"/>
          <w:lang w:val="en-US"/>
        </w:rPr>
        <w:t xml:space="preserve">, </w:t>
      </w:r>
      <w:r w:rsidR="00EF6ECC" w:rsidRPr="00F92518">
        <w:rPr>
          <w:rFonts w:ascii="Times New Roman" w:hAnsi="Times New Roman" w:cs="Times New Roman"/>
          <w:bCs/>
          <w:sz w:val="20"/>
          <w:szCs w:val="20"/>
          <w:lang w:val="en-US"/>
        </w:rPr>
        <w:t xml:space="preserve">with controls </w:t>
      </w:r>
      <w:r w:rsidR="00A702F7" w:rsidRPr="00F92518">
        <w:rPr>
          <w:rFonts w:ascii="Times New Roman" w:hAnsi="Times New Roman" w:cs="Times New Roman"/>
          <w:bCs/>
          <w:sz w:val="20"/>
          <w:szCs w:val="20"/>
          <w:lang w:val="en-US"/>
        </w:rPr>
        <w:t xml:space="preserve">for </w:t>
      </w:r>
      <w:r w:rsidR="00EF6ECC" w:rsidRPr="00F92518">
        <w:rPr>
          <w:rFonts w:ascii="Times New Roman" w:hAnsi="Times New Roman" w:cs="Times New Roman"/>
          <w:bCs/>
          <w:sz w:val="20"/>
          <w:szCs w:val="20"/>
          <w:lang w:val="en-US"/>
        </w:rPr>
        <w:t>the</w:t>
      </w:r>
      <w:r w:rsidR="007D03A7" w:rsidRPr="00F92518">
        <w:rPr>
          <w:rFonts w:ascii="Times New Roman" w:hAnsi="Times New Roman" w:cs="Times New Roman"/>
          <w:bCs/>
          <w:sz w:val="20"/>
          <w:szCs w:val="20"/>
          <w:lang w:val="en-US"/>
        </w:rPr>
        <w:t xml:space="preserve"> </w:t>
      </w:r>
      <w:r w:rsidRPr="00F92518">
        <w:rPr>
          <w:rFonts w:ascii="Times New Roman" w:hAnsi="Times New Roman" w:cs="Times New Roman"/>
          <w:bCs/>
          <w:sz w:val="20"/>
          <w:szCs w:val="20"/>
          <w:lang w:val="en-US"/>
        </w:rPr>
        <w:t xml:space="preserve">various </w:t>
      </w:r>
      <w:r w:rsidRPr="00F92518">
        <w:rPr>
          <w:rFonts w:ascii="Times New Roman" w:eastAsia="Times New Roman" w:hAnsi="Times New Roman" w:cs="Times New Roman"/>
          <w:bCs/>
          <w:sz w:val="20"/>
          <w:szCs w:val="20"/>
          <w:lang w:val="en-US"/>
        </w:rPr>
        <w:t>socio-economic factors</w:t>
      </w:r>
      <w:r w:rsidRPr="00F92518">
        <w:rPr>
          <w:rFonts w:ascii="Times New Roman" w:hAnsi="Times New Roman" w:cs="Times New Roman"/>
          <w:bCs/>
          <w:sz w:val="20"/>
          <w:szCs w:val="20"/>
          <w:lang w:val="en-US"/>
        </w:rPr>
        <w:t>:</w:t>
      </w:r>
      <w:r w:rsidR="00F92518">
        <w:rPr>
          <w:rFonts w:ascii="Times New Roman" w:hAnsi="Times New Roman" w:cs="Times New Roman"/>
          <w:bCs/>
          <w:sz w:val="20"/>
          <w:szCs w:val="20"/>
          <w:lang w:val="en-US"/>
        </w:rPr>
        <w:t xml:space="preserve">  </w:t>
      </w:r>
    </w:p>
    <w:p w14:paraId="2A8FC1E5" w14:textId="77777777" w:rsidR="009B773C" w:rsidRPr="00F92518" w:rsidRDefault="009B773C" w:rsidP="00C45D4F">
      <w:pPr>
        <w:rPr>
          <w:rFonts w:ascii="Times New Roman" w:hAnsi="Times New Roman" w:cs="Times New Roman"/>
          <w:bCs/>
          <w:sz w:val="20"/>
          <w:szCs w:val="20"/>
          <w:lang w:val="en-US"/>
        </w:rPr>
      </w:pPr>
    </w:p>
    <w:p w14:paraId="0F7E1EFA" w14:textId="1DCFF53A" w:rsidR="00241CF5" w:rsidRPr="00F92518" w:rsidRDefault="003E0F50" w:rsidP="00C45D4F">
      <w:pPr>
        <w:tabs>
          <w:tab w:val="left" w:pos="8640"/>
        </w:tabs>
        <w:rPr>
          <w:rFonts w:ascii="Times New Roman" w:hAnsi="Times New Roman" w:cs="Times New Roman"/>
          <w:b/>
          <w:sz w:val="20"/>
          <w:szCs w:val="20"/>
          <w:lang w:val="en-US"/>
        </w:rPr>
      </w:pPr>
      <m:oMath>
        <m:r>
          <w:rPr>
            <w:rFonts w:ascii="Cambria Math" w:hAnsi="Cambria Math" w:cs="Times New Roman"/>
            <w:sz w:val="20"/>
            <w:szCs w:val="20"/>
            <w:lang w:val="en-US"/>
          </w:rPr>
          <m:t>TaxConf</m:t>
        </m:r>
        <m:r>
          <m:rPr>
            <m:sty m:val="bi"/>
          </m:rP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0</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1</m:t>
                </m:r>
              </m:sub>
            </m:sSub>
            <m:r>
              <w:rPr>
                <w:rFonts w:ascii="Cambria Math" w:hAnsi="Cambria Math" w:cs="Times New Roman"/>
                <w:sz w:val="20"/>
                <w:szCs w:val="20"/>
                <w:lang w:val="en-US"/>
              </w:rPr>
              <m:t>IntroAcctg+</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2</m:t>
                </m:r>
              </m:sub>
            </m:sSub>
            <m:r>
              <w:rPr>
                <w:rFonts w:ascii="Cambria Math" w:hAnsi="Cambria Math" w:cs="Times New Roman"/>
                <w:sz w:val="20"/>
                <w:szCs w:val="20"/>
                <w:lang w:val="en-US"/>
              </w:rPr>
              <m:t>UpperAcctg+</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3</m:t>
                </m:r>
              </m:sub>
            </m:sSub>
            <m:r>
              <w:rPr>
                <w:rFonts w:ascii="Cambria Math" w:hAnsi="Cambria Math" w:cs="Times New Roman"/>
                <w:sz w:val="20"/>
                <w:szCs w:val="20"/>
                <w:lang w:val="en-US"/>
              </w:rPr>
              <m:t>IntroTax+</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4</m:t>
                </m:r>
              </m:sub>
            </m:sSub>
            <m:r>
              <w:rPr>
                <w:rFonts w:ascii="Cambria Math" w:hAnsi="Cambria Math" w:cs="Times New Roman"/>
                <w:sz w:val="20"/>
                <w:szCs w:val="20"/>
                <w:lang w:val="en-US"/>
              </w:rPr>
              <m:t>UpperTax+β</m:t>
            </m:r>
          </m:e>
          <m:sub>
            <m:r>
              <w:rPr>
                <w:rFonts w:ascii="Cambria Math" w:hAnsi="Cambria Math" w:cs="Times New Roman"/>
                <w:sz w:val="20"/>
                <w:szCs w:val="20"/>
                <w:lang w:val="en-US"/>
              </w:rPr>
              <m:t>5</m:t>
            </m:r>
          </m:sub>
        </m:sSub>
        <m:r>
          <w:rPr>
            <w:rFonts w:ascii="Cambria Math" w:hAnsi="Cambria Math" w:cs="Times New Roman"/>
            <w:sz w:val="20"/>
            <w:szCs w:val="20"/>
            <w:lang w:val="en-US"/>
          </w:rPr>
          <m:t>TaxLit+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6</m:t>
            </m:r>
          </m:sub>
        </m:sSub>
        <m:r>
          <w:rPr>
            <w:rFonts w:ascii="Cambria Math" w:hAnsi="Cambria Math" w:cs="Times New Roman"/>
            <w:sz w:val="20"/>
            <w:szCs w:val="20"/>
            <w:lang w:val="en-US"/>
          </w:rPr>
          <m:t>FinLit+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7</m:t>
            </m:r>
          </m:sub>
        </m:sSub>
        <m:r>
          <w:rPr>
            <w:rFonts w:ascii="Cambria Math" w:hAnsi="Cambria Math" w:cs="Times New Roman"/>
            <w:sz w:val="20"/>
            <w:szCs w:val="20"/>
            <w:lang w:val="en-US"/>
          </w:rPr>
          <m:t>FinConf+</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8</m:t>
            </m:r>
          </m:sub>
        </m:sSub>
        <m:r>
          <w:rPr>
            <w:rFonts w:ascii="Cambria Math" w:hAnsi="Cambria Math" w:cs="Times New Roman"/>
            <w:sz w:val="20"/>
            <w:szCs w:val="20"/>
            <w:lang w:val="en-US"/>
          </w:rPr>
          <m:t>Gender+</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9</m:t>
            </m:r>
          </m:sub>
        </m:sSub>
        <m:r>
          <w:rPr>
            <w:rFonts w:ascii="Cambria Math" w:hAnsi="Cambria Math" w:cs="Times New Roman"/>
            <w:sz w:val="20"/>
            <w:szCs w:val="20"/>
            <w:lang w:val="en-US"/>
          </w:rPr>
          <m:t>Age+</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10</m:t>
            </m:r>
          </m:sub>
        </m:sSub>
        <m:r>
          <w:rPr>
            <w:rFonts w:ascii="Cambria Math" w:hAnsi="Cambria Math" w:cs="Times New Roman"/>
            <w:sz w:val="20"/>
            <w:szCs w:val="20"/>
            <w:lang w:val="en-US"/>
          </w:rPr>
          <m:t>WrkExp+</m:t>
        </m:r>
        <m:sSub>
          <m:sSubPr>
            <m:ctrlPr>
              <w:rPr>
                <w:rFonts w:ascii="Cambria Math" w:hAnsi="Cambria Math" w:cs="Times New Roman"/>
                <w:i/>
                <w:sz w:val="20"/>
                <w:szCs w:val="20"/>
                <w:lang w:val="en-US"/>
              </w:rPr>
            </m:ctrlPr>
          </m:sSub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11</m:t>
                </m:r>
              </m:sub>
            </m:sSub>
            <m:r>
              <w:rPr>
                <w:rFonts w:ascii="Cambria Math" w:hAnsi="Cambria Math" w:cs="Times New Roman"/>
                <w:sz w:val="20"/>
                <w:szCs w:val="20"/>
                <w:lang w:val="en-US"/>
              </w:rPr>
              <m:t>PaperFile+</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12</m:t>
                </m:r>
              </m:sub>
            </m:sSub>
            <m:r>
              <w:rPr>
                <w:rFonts w:ascii="Cambria Math" w:hAnsi="Cambria Math" w:cs="Times New Roman"/>
                <w:sz w:val="20"/>
                <w:szCs w:val="20"/>
                <w:lang w:val="en-US"/>
              </w:rPr>
              <m:t>SoftwareFile+</m:t>
            </m:r>
            <m:sSub>
              <m:sSubPr>
                <m:ctrlPr>
                  <w:rPr>
                    <w:rFonts w:ascii="Cambria Math" w:hAnsi="Cambria Math" w:cs="Times New Roman"/>
                    <w:i/>
                    <w:sz w:val="20"/>
                    <w:szCs w:val="20"/>
                    <w:lang w:val="en-US"/>
                  </w:rPr>
                </m:ctrlPr>
              </m:sSub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13</m:t>
                    </m:r>
                  </m:sub>
                </m:sSub>
                <m:r>
                  <w:rPr>
                    <w:rFonts w:ascii="Cambria Math" w:hAnsi="Cambria Math" w:cs="Times New Roman"/>
                    <w:sz w:val="20"/>
                    <w:szCs w:val="20"/>
                    <w:lang w:val="en-US"/>
                  </w:rPr>
                  <m:t>ProfFile+ β</m:t>
                </m:r>
              </m:e>
              <m:sub>
                <m:r>
                  <w:rPr>
                    <w:rFonts w:ascii="Cambria Math" w:hAnsi="Cambria Math" w:cs="Times New Roman"/>
                    <w:sz w:val="20"/>
                    <w:szCs w:val="20"/>
                    <w:lang w:val="en-US"/>
                  </w:rPr>
                  <m:t>14</m:t>
                </m:r>
              </m:sub>
            </m:sSub>
            <m:r>
              <w:rPr>
                <w:rFonts w:ascii="Cambria Math" w:hAnsi="Cambria Math" w:cs="Times New Roman"/>
                <w:sz w:val="20"/>
                <w:szCs w:val="20"/>
                <w:lang w:val="en-US"/>
              </w:rPr>
              <m:t>ParentFile+</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15</m:t>
                </m:r>
              </m:sub>
            </m:sSub>
            <m:r>
              <w:rPr>
                <w:rFonts w:ascii="Cambria Math" w:hAnsi="Cambria Math" w:cs="Times New Roman"/>
                <w:sz w:val="20"/>
                <w:szCs w:val="20"/>
                <w:lang w:val="en-US"/>
              </w:rPr>
              <m:t>Family+β</m:t>
            </m:r>
          </m:e>
          <m:sub>
            <m:r>
              <w:rPr>
                <w:rFonts w:ascii="Cambria Math" w:hAnsi="Cambria Math" w:cs="Times New Roman"/>
                <w:sz w:val="20"/>
                <w:szCs w:val="20"/>
                <w:lang w:val="en-US"/>
              </w:rPr>
              <m:t>16</m:t>
            </m:r>
          </m:sub>
        </m:sSub>
        <m:r>
          <w:rPr>
            <w:rFonts w:ascii="Cambria Math" w:hAnsi="Cambria Math" w:cs="Times New Roman"/>
            <w:sz w:val="20"/>
            <w:szCs w:val="20"/>
            <w:lang w:val="en-US"/>
          </w:rPr>
          <m:t>FinExp+</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β</m:t>
            </m:r>
          </m:e>
          <m:sub>
            <m:r>
              <w:rPr>
                <w:rFonts w:ascii="Cambria Math" w:hAnsi="Cambria Math" w:cs="Times New Roman"/>
                <w:sz w:val="20"/>
                <w:szCs w:val="20"/>
                <w:lang w:val="en-US"/>
              </w:rPr>
              <m:t>17</m:t>
            </m:r>
          </m:sub>
        </m:sSub>
        <m:r>
          <w:rPr>
            <w:rFonts w:ascii="Cambria Math" w:hAnsi="Cambria Math" w:cs="Times New Roman"/>
            <w:sz w:val="20"/>
            <w:szCs w:val="20"/>
            <w:lang w:val="en-US"/>
          </w:rPr>
          <m:t>Income+ε</m:t>
        </m:r>
      </m:oMath>
      <w:r w:rsidRPr="00F92518">
        <w:rPr>
          <w:rFonts w:ascii="Times New Roman" w:hAnsi="Times New Roman" w:cs="Times New Roman"/>
          <w:sz w:val="20"/>
          <w:szCs w:val="20"/>
          <w:lang w:val="en-US"/>
        </w:rPr>
        <w:tab/>
        <w:t>(2)</w:t>
      </w:r>
    </w:p>
    <w:p w14:paraId="04FDBD51" w14:textId="322950F1" w:rsidR="00423383" w:rsidRDefault="00D2257C" w:rsidP="00C45D4F">
      <w:pPr>
        <w:rPr>
          <w:rFonts w:ascii="Times New Roman" w:eastAsia="Times New Roman" w:hAnsi="Times New Roman" w:cs="Times New Roman"/>
          <w:sz w:val="20"/>
          <w:szCs w:val="20"/>
          <w:lang w:val="en-US"/>
        </w:rPr>
      </w:pPr>
      <w:r w:rsidRPr="00263C50">
        <w:rPr>
          <w:rFonts w:ascii="Times New Roman" w:eastAsia="Times New Roman" w:hAnsi="Times New Roman" w:cs="Times New Roman"/>
          <w:sz w:val="20"/>
          <w:szCs w:val="20"/>
          <w:lang w:val="en-US"/>
        </w:rPr>
        <w:t>w</w:t>
      </w:r>
      <w:r w:rsidR="003E0F50" w:rsidRPr="00263C50">
        <w:rPr>
          <w:rFonts w:ascii="Times New Roman" w:eastAsia="Times New Roman" w:hAnsi="Times New Roman" w:cs="Times New Roman"/>
          <w:sz w:val="20"/>
          <w:szCs w:val="20"/>
          <w:lang w:val="en-US"/>
        </w:rPr>
        <w:t xml:space="preserve">here </w:t>
      </w:r>
      <w:proofErr w:type="spellStart"/>
      <w:r w:rsidR="003E0F50" w:rsidRPr="00263C50">
        <w:rPr>
          <w:rFonts w:ascii="Times New Roman" w:eastAsia="Times New Roman" w:hAnsi="Times New Roman" w:cs="Times New Roman"/>
          <w:i/>
          <w:iCs/>
          <w:sz w:val="20"/>
          <w:szCs w:val="20"/>
          <w:lang w:val="en-US"/>
        </w:rPr>
        <w:t>TaxConf</w:t>
      </w:r>
      <w:proofErr w:type="spellEnd"/>
      <w:r w:rsidR="003E0F50" w:rsidRPr="00263C50">
        <w:rPr>
          <w:rFonts w:ascii="Times New Roman" w:eastAsia="Times New Roman" w:hAnsi="Times New Roman" w:cs="Times New Roman"/>
          <w:sz w:val="20"/>
          <w:szCs w:val="20"/>
          <w:lang w:val="en-US"/>
        </w:rPr>
        <w:t xml:space="preserve"> is a self-rating </w:t>
      </w:r>
      <w:r w:rsidR="005A5967" w:rsidRPr="002733DF">
        <w:rPr>
          <w:rFonts w:ascii="Times New Roman" w:eastAsia="Times New Roman" w:hAnsi="Times New Roman" w:cs="Times New Roman"/>
          <w:sz w:val="20"/>
          <w:szCs w:val="20"/>
          <w:lang w:val="en-US"/>
        </w:rPr>
        <w:t xml:space="preserve">scale of a participant’s tax knowledge measured before </w:t>
      </w:r>
      <w:r w:rsidR="008827C4" w:rsidRPr="002733DF">
        <w:rPr>
          <w:rFonts w:ascii="Times New Roman" w:eastAsia="Times New Roman" w:hAnsi="Times New Roman" w:cs="Times New Roman"/>
          <w:sz w:val="20"/>
          <w:szCs w:val="20"/>
          <w:lang w:val="en-US"/>
        </w:rPr>
        <w:t>the participant</w:t>
      </w:r>
      <w:r w:rsidR="005A5967" w:rsidRPr="002733DF">
        <w:rPr>
          <w:rFonts w:ascii="Times New Roman" w:eastAsia="Times New Roman" w:hAnsi="Times New Roman" w:cs="Times New Roman"/>
          <w:sz w:val="20"/>
          <w:szCs w:val="20"/>
          <w:lang w:val="en-US"/>
        </w:rPr>
        <w:t xml:space="preserve"> attempt</w:t>
      </w:r>
      <w:r w:rsidR="00912466" w:rsidRPr="002733DF">
        <w:rPr>
          <w:rFonts w:ascii="Times New Roman" w:eastAsia="Times New Roman" w:hAnsi="Times New Roman" w:cs="Times New Roman"/>
          <w:sz w:val="20"/>
          <w:szCs w:val="20"/>
          <w:lang w:val="en-US"/>
        </w:rPr>
        <w:t>s</w:t>
      </w:r>
      <w:r w:rsidRPr="002733DF">
        <w:rPr>
          <w:rFonts w:ascii="Times New Roman" w:eastAsia="Times New Roman" w:hAnsi="Times New Roman" w:cs="Times New Roman"/>
          <w:sz w:val="20"/>
          <w:szCs w:val="20"/>
          <w:lang w:val="en-US"/>
        </w:rPr>
        <w:t xml:space="preserve"> the</w:t>
      </w:r>
      <w:r w:rsidR="005A5967" w:rsidRPr="002733DF">
        <w:rPr>
          <w:rFonts w:ascii="Times New Roman" w:eastAsia="Times New Roman" w:hAnsi="Times New Roman" w:cs="Times New Roman"/>
          <w:sz w:val="20"/>
          <w:szCs w:val="20"/>
          <w:lang w:val="en-US"/>
        </w:rPr>
        <w:t xml:space="preserve"> survey questions. The empirical results are presented in Table </w:t>
      </w:r>
      <w:r w:rsidR="0097718F" w:rsidRPr="002733DF">
        <w:rPr>
          <w:rFonts w:ascii="Times New Roman" w:eastAsia="Times New Roman" w:hAnsi="Times New Roman" w:cs="Times New Roman"/>
          <w:sz w:val="20"/>
          <w:szCs w:val="20"/>
          <w:lang w:val="en-US"/>
        </w:rPr>
        <w:t>7</w:t>
      </w:r>
      <w:r w:rsidR="005A5967" w:rsidRPr="002733DF">
        <w:rPr>
          <w:rFonts w:ascii="Times New Roman" w:eastAsia="Times New Roman" w:hAnsi="Times New Roman" w:cs="Times New Roman"/>
          <w:sz w:val="20"/>
          <w:szCs w:val="20"/>
          <w:lang w:val="en-US"/>
        </w:rPr>
        <w:t xml:space="preserve">. </w:t>
      </w:r>
      <w:r w:rsidR="002733DF">
        <w:rPr>
          <w:rFonts w:ascii="Times New Roman" w:eastAsia="Times New Roman" w:hAnsi="Times New Roman" w:cs="Times New Roman"/>
          <w:sz w:val="20"/>
          <w:szCs w:val="20"/>
          <w:lang w:val="en-US"/>
        </w:rPr>
        <w:t xml:space="preserve"> </w:t>
      </w:r>
    </w:p>
    <w:p w14:paraId="66D653D8" w14:textId="77777777" w:rsidR="002733DF" w:rsidRPr="002733DF" w:rsidRDefault="002733DF" w:rsidP="00C45D4F">
      <w:pPr>
        <w:rPr>
          <w:rFonts w:ascii="Times New Roman" w:eastAsia="Times New Roman" w:hAnsi="Times New Roman" w:cs="Times New Roman"/>
          <w:sz w:val="20"/>
          <w:szCs w:val="20"/>
          <w:lang w:val="en-US"/>
        </w:rPr>
      </w:pPr>
    </w:p>
    <w:p w14:paraId="14BA22D9" w14:textId="71345C03" w:rsidR="000C2ADA" w:rsidRDefault="00423383" w:rsidP="00C45D4F">
      <w:pPr>
        <w:rPr>
          <w:rFonts w:ascii="Times New Roman" w:eastAsia="Times New Roman" w:hAnsi="Times New Roman" w:cs="Times New Roman"/>
          <w:sz w:val="20"/>
          <w:szCs w:val="20"/>
          <w:lang w:val="en-US"/>
        </w:rPr>
      </w:pPr>
      <w:r w:rsidRPr="002733DF">
        <w:rPr>
          <w:rFonts w:ascii="Times New Roman" w:eastAsia="Times New Roman" w:hAnsi="Times New Roman" w:cs="Times New Roman"/>
          <w:sz w:val="20"/>
          <w:szCs w:val="20"/>
          <w:lang w:val="en-US"/>
        </w:rPr>
        <w:t xml:space="preserve">We first exclude the education variables and only analyze the effect of </w:t>
      </w:r>
      <w:proofErr w:type="spellStart"/>
      <w:r w:rsidRPr="002733DF">
        <w:rPr>
          <w:rFonts w:ascii="Times New Roman" w:eastAsia="Times New Roman" w:hAnsi="Times New Roman" w:cs="Times New Roman"/>
          <w:i/>
          <w:sz w:val="20"/>
          <w:szCs w:val="20"/>
          <w:lang w:val="en-US"/>
        </w:rPr>
        <w:t>TaxLit</w:t>
      </w:r>
      <w:proofErr w:type="spellEnd"/>
      <w:r w:rsidRPr="002733DF">
        <w:rPr>
          <w:rFonts w:ascii="Times New Roman" w:eastAsia="Times New Roman" w:hAnsi="Times New Roman" w:cs="Times New Roman"/>
          <w:sz w:val="20"/>
          <w:szCs w:val="20"/>
          <w:lang w:val="en-US"/>
        </w:rPr>
        <w:t xml:space="preserve">, </w:t>
      </w:r>
      <w:proofErr w:type="spellStart"/>
      <w:r w:rsidRPr="002733DF">
        <w:rPr>
          <w:rFonts w:ascii="Times New Roman" w:eastAsia="Times New Roman" w:hAnsi="Times New Roman" w:cs="Times New Roman"/>
          <w:i/>
          <w:sz w:val="20"/>
          <w:szCs w:val="20"/>
          <w:lang w:val="en-US"/>
        </w:rPr>
        <w:t>FinLit</w:t>
      </w:r>
      <w:proofErr w:type="spellEnd"/>
      <w:r w:rsidRPr="002733DF">
        <w:rPr>
          <w:rFonts w:ascii="Times New Roman" w:eastAsia="Times New Roman" w:hAnsi="Times New Roman" w:cs="Times New Roman"/>
          <w:sz w:val="20"/>
          <w:szCs w:val="20"/>
          <w:lang w:val="en-US"/>
        </w:rPr>
        <w:t xml:space="preserve">, </w:t>
      </w:r>
      <w:proofErr w:type="spellStart"/>
      <w:r w:rsidRPr="002733DF">
        <w:rPr>
          <w:rFonts w:ascii="Times New Roman" w:eastAsia="Times New Roman" w:hAnsi="Times New Roman" w:cs="Times New Roman"/>
          <w:i/>
          <w:sz w:val="20"/>
          <w:szCs w:val="20"/>
          <w:lang w:val="en-US"/>
        </w:rPr>
        <w:t>FinConf</w:t>
      </w:r>
      <w:proofErr w:type="spellEnd"/>
      <w:r w:rsidRPr="002733DF">
        <w:rPr>
          <w:rFonts w:ascii="Times New Roman" w:eastAsia="Times New Roman" w:hAnsi="Times New Roman" w:cs="Times New Roman"/>
          <w:sz w:val="20"/>
          <w:szCs w:val="20"/>
          <w:lang w:val="en-US"/>
        </w:rPr>
        <w:t xml:space="preserve"> and demographic variables on </w:t>
      </w:r>
      <w:r w:rsidR="008827C4" w:rsidRPr="002733DF">
        <w:rPr>
          <w:rFonts w:ascii="Times New Roman" w:eastAsia="Times New Roman" w:hAnsi="Times New Roman" w:cs="Times New Roman"/>
          <w:sz w:val="20"/>
          <w:szCs w:val="20"/>
          <w:lang w:val="en-US"/>
        </w:rPr>
        <w:t xml:space="preserve">the dependent variable, </w:t>
      </w:r>
      <w:proofErr w:type="spellStart"/>
      <w:r w:rsidRPr="002733DF">
        <w:rPr>
          <w:rFonts w:ascii="Times New Roman" w:eastAsia="Times New Roman" w:hAnsi="Times New Roman" w:cs="Times New Roman"/>
          <w:i/>
          <w:sz w:val="20"/>
          <w:szCs w:val="20"/>
          <w:lang w:val="en-US"/>
        </w:rPr>
        <w:t>TaxConf</w:t>
      </w:r>
      <w:proofErr w:type="spellEnd"/>
      <w:r w:rsidR="008827C4" w:rsidRPr="002733DF">
        <w:rPr>
          <w:rFonts w:ascii="Times New Roman" w:eastAsia="Times New Roman" w:hAnsi="Times New Roman" w:cs="Times New Roman"/>
          <w:sz w:val="20"/>
          <w:szCs w:val="20"/>
          <w:lang w:val="en-US"/>
        </w:rPr>
        <w:t>,</w:t>
      </w:r>
      <w:r w:rsidRPr="002733DF">
        <w:rPr>
          <w:rFonts w:ascii="Times New Roman" w:eastAsia="Times New Roman" w:hAnsi="Times New Roman" w:cs="Times New Roman"/>
          <w:sz w:val="20"/>
          <w:szCs w:val="20"/>
          <w:lang w:val="en-US"/>
        </w:rPr>
        <w:t xml:space="preserve"> in Model 1. C</w:t>
      </w:r>
      <w:r w:rsidR="000C2ADA" w:rsidRPr="002733DF">
        <w:rPr>
          <w:rFonts w:ascii="Times New Roman" w:eastAsia="Times New Roman" w:hAnsi="Times New Roman" w:cs="Times New Roman"/>
          <w:sz w:val="20"/>
          <w:szCs w:val="20"/>
          <w:lang w:val="en-US"/>
        </w:rPr>
        <w:t xml:space="preserve">onsistent with our expectation, </w:t>
      </w:r>
      <w:proofErr w:type="spellStart"/>
      <w:r w:rsidR="00CC2DD2" w:rsidRPr="002733DF">
        <w:rPr>
          <w:rFonts w:ascii="Times New Roman" w:eastAsia="Times New Roman" w:hAnsi="Times New Roman" w:cs="Times New Roman"/>
          <w:i/>
          <w:sz w:val="20"/>
          <w:szCs w:val="20"/>
          <w:lang w:val="en-US"/>
        </w:rPr>
        <w:t>TaxConf</w:t>
      </w:r>
      <w:proofErr w:type="spellEnd"/>
      <w:r w:rsidR="000C2ADA" w:rsidRPr="002733DF">
        <w:rPr>
          <w:rFonts w:ascii="Times New Roman" w:eastAsia="Times New Roman" w:hAnsi="Times New Roman" w:cs="Times New Roman"/>
          <w:sz w:val="20"/>
          <w:szCs w:val="20"/>
          <w:lang w:val="en-US"/>
        </w:rPr>
        <w:t xml:space="preserve"> is positively associated with </w:t>
      </w:r>
      <w:proofErr w:type="spellStart"/>
      <w:r w:rsidR="00CC2DD2" w:rsidRPr="002733DF">
        <w:rPr>
          <w:rFonts w:ascii="Times New Roman" w:eastAsia="Times New Roman" w:hAnsi="Times New Roman" w:cs="Times New Roman"/>
          <w:i/>
          <w:sz w:val="20"/>
          <w:szCs w:val="20"/>
          <w:lang w:val="en-US"/>
        </w:rPr>
        <w:t>TaxLit</w:t>
      </w:r>
      <w:proofErr w:type="spellEnd"/>
      <w:r w:rsidR="00860732" w:rsidRPr="002733DF">
        <w:rPr>
          <w:rFonts w:ascii="Times New Roman" w:eastAsia="Times New Roman" w:hAnsi="Times New Roman" w:cs="Times New Roman"/>
          <w:i/>
          <w:sz w:val="20"/>
          <w:szCs w:val="20"/>
          <w:lang w:val="en-US"/>
        </w:rPr>
        <w:t xml:space="preserve"> </w:t>
      </w:r>
      <w:r w:rsidR="00860732" w:rsidRPr="002733DF">
        <w:rPr>
          <w:rFonts w:ascii="Times New Roman" w:eastAsia="Times New Roman" w:hAnsi="Times New Roman" w:cs="Times New Roman"/>
          <w:sz w:val="20"/>
          <w:szCs w:val="20"/>
          <w:lang w:val="en-US"/>
        </w:rPr>
        <w:t>(0.99,</w:t>
      </w:r>
      <w:r w:rsidR="000C2ADA" w:rsidRPr="002733DF">
        <w:rPr>
          <w:rFonts w:ascii="Times New Roman" w:eastAsia="Times New Roman" w:hAnsi="Times New Roman" w:cs="Times New Roman"/>
          <w:sz w:val="20"/>
          <w:szCs w:val="20"/>
          <w:lang w:val="en-US"/>
        </w:rPr>
        <w:t xml:space="preserve"> </w:t>
      </w:r>
      <w:r w:rsidR="000C2ADA" w:rsidRPr="002733DF">
        <w:rPr>
          <w:rFonts w:ascii="Times New Roman" w:eastAsia="Times New Roman" w:hAnsi="Times New Roman" w:cs="Times New Roman"/>
          <w:i/>
          <w:sz w:val="20"/>
          <w:szCs w:val="20"/>
          <w:lang w:val="en-US"/>
        </w:rPr>
        <w:t>p</w:t>
      </w:r>
      <w:r w:rsidR="000C2ADA" w:rsidRPr="002733DF">
        <w:rPr>
          <w:rFonts w:ascii="Times New Roman" w:eastAsia="Times New Roman" w:hAnsi="Times New Roman" w:cs="Times New Roman"/>
          <w:sz w:val="20"/>
          <w:szCs w:val="20"/>
          <w:lang w:val="en-US"/>
        </w:rPr>
        <w:t>-value</w:t>
      </w:r>
      <w:r w:rsidR="00860732" w:rsidRPr="002733DF">
        <w:rPr>
          <w:rFonts w:ascii="Times New Roman" w:eastAsia="Times New Roman" w:hAnsi="Times New Roman" w:cs="Times New Roman"/>
          <w:sz w:val="20"/>
          <w:szCs w:val="20"/>
          <w:lang w:val="en-US"/>
        </w:rPr>
        <w:t>&lt;0.01).</w:t>
      </w:r>
      <w:r w:rsidR="000C2ADA" w:rsidRPr="002733DF">
        <w:rPr>
          <w:rFonts w:ascii="Times New Roman" w:eastAsia="Times New Roman" w:hAnsi="Times New Roman" w:cs="Times New Roman"/>
          <w:sz w:val="20"/>
          <w:szCs w:val="20"/>
          <w:lang w:val="en-US"/>
        </w:rPr>
        <w:t xml:space="preserve"> The result indicates that participants</w:t>
      </w:r>
      <w:r w:rsidR="00890EE1" w:rsidRPr="002733DF">
        <w:rPr>
          <w:rFonts w:ascii="Times New Roman" w:eastAsia="Times New Roman" w:hAnsi="Times New Roman" w:cs="Times New Roman"/>
          <w:sz w:val="20"/>
          <w:szCs w:val="20"/>
          <w:lang w:val="en-US"/>
        </w:rPr>
        <w:t>’</w:t>
      </w:r>
      <w:r w:rsidR="000C2ADA" w:rsidRPr="002733DF">
        <w:rPr>
          <w:rFonts w:ascii="Times New Roman" w:eastAsia="Times New Roman" w:hAnsi="Times New Roman" w:cs="Times New Roman"/>
          <w:sz w:val="20"/>
          <w:szCs w:val="20"/>
          <w:lang w:val="en-US"/>
        </w:rPr>
        <w:t xml:space="preserve"> assess</w:t>
      </w:r>
      <w:r w:rsidR="00890EE1" w:rsidRPr="002733DF">
        <w:rPr>
          <w:rFonts w:ascii="Times New Roman" w:eastAsia="Times New Roman" w:hAnsi="Times New Roman" w:cs="Times New Roman"/>
          <w:sz w:val="20"/>
          <w:szCs w:val="20"/>
          <w:lang w:val="en-US"/>
        </w:rPr>
        <w:t>ment</w:t>
      </w:r>
      <w:r w:rsidR="000C2ADA" w:rsidRPr="002733DF">
        <w:rPr>
          <w:rFonts w:ascii="Times New Roman" w:eastAsia="Times New Roman" w:hAnsi="Times New Roman" w:cs="Times New Roman"/>
          <w:sz w:val="20"/>
          <w:szCs w:val="20"/>
          <w:lang w:val="en-US"/>
        </w:rPr>
        <w:t xml:space="preserve"> </w:t>
      </w:r>
      <w:r w:rsidR="00912466" w:rsidRPr="002733DF">
        <w:rPr>
          <w:rFonts w:ascii="Times New Roman" w:eastAsia="Times New Roman" w:hAnsi="Times New Roman" w:cs="Times New Roman"/>
          <w:sz w:val="20"/>
          <w:szCs w:val="20"/>
          <w:lang w:val="en-US"/>
        </w:rPr>
        <w:t xml:space="preserve">of </w:t>
      </w:r>
      <w:r w:rsidR="000C2ADA" w:rsidRPr="002733DF">
        <w:rPr>
          <w:rFonts w:ascii="Times New Roman" w:eastAsia="Times New Roman" w:hAnsi="Times New Roman" w:cs="Times New Roman"/>
          <w:sz w:val="20"/>
          <w:szCs w:val="20"/>
          <w:lang w:val="en-US"/>
        </w:rPr>
        <w:t>their own tax knowledge</w:t>
      </w:r>
      <w:r w:rsidR="00890EE1" w:rsidRPr="002733DF">
        <w:rPr>
          <w:rFonts w:ascii="Times New Roman" w:eastAsia="Times New Roman" w:hAnsi="Times New Roman" w:cs="Times New Roman"/>
          <w:sz w:val="20"/>
          <w:szCs w:val="20"/>
          <w:lang w:val="en-US"/>
        </w:rPr>
        <w:t xml:space="preserve"> is </w:t>
      </w:r>
      <w:r w:rsidR="00420E95" w:rsidRPr="002733DF">
        <w:rPr>
          <w:rFonts w:ascii="Times New Roman" w:eastAsia="Times New Roman" w:hAnsi="Times New Roman" w:cs="Times New Roman"/>
          <w:sz w:val="20"/>
          <w:szCs w:val="20"/>
          <w:lang w:val="en-US"/>
        </w:rPr>
        <w:t xml:space="preserve">consistent with their tax </w:t>
      </w:r>
      <w:r w:rsidR="00724359" w:rsidRPr="002733DF">
        <w:rPr>
          <w:rFonts w:ascii="Times New Roman" w:eastAsia="Times New Roman" w:hAnsi="Times New Roman" w:cs="Times New Roman"/>
          <w:sz w:val="20"/>
          <w:szCs w:val="20"/>
          <w:lang w:val="en-US"/>
        </w:rPr>
        <w:t>literacy</w:t>
      </w:r>
      <w:r w:rsidR="00240DC1" w:rsidRPr="002733DF">
        <w:rPr>
          <w:rFonts w:ascii="Times New Roman" w:eastAsia="Times New Roman" w:hAnsi="Times New Roman" w:cs="Times New Roman"/>
          <w:sz w:val="20"/>
          <w:szCs w:val="20"/>
          <w:lang w:val="en-US"/>
        </w:rPr>
        <w:t>, consistent with our expectation</w:t>
      </w:r>
      <w:r w:rsidR="000C2ADA" w:rsidRPr="002733DF">
        <w:rPr>
          <w:rFonts w:ascii="Times New Roman" w:eastAsia="Times New Roman" w:hAnsi="Times New Roman" w:cs="Times New Roman"/>
          <w:sz w:val="20"/>
          <w:szCs w:val="20"/>
          <w:lang w:val="en-US"/>
        </w:rPr>
        <w:t xml:space="preserve">. </w:t>
      </w:r>
      <w:r w:rsidR="00240DC1" w:rsidRPr="002733DF">
        <w:rPr>
          <w:rFonts w:ascii="Times New Roman" w:eastAsia="Times New Roman" w:hAnsi="Times New Roman" w:cs="Times New Roman"/>
          <w:sz w:val="20"/>
          <w:szCs w:val="20"/>
          <w:lang w:val="en-US"/>
        </w:rPr>
        <w:t xml:space="preserve">The positive association between </w:t>
      </w:r>
      <w:proofErr w:type="spellStart"/>
      <w:r w:rsidR="00240DC1" w:rsidRPr="002733DF">
        <w:rPr>
          <w:rFonts w:ascii="Times New Roman" w:eastAsia="Times New Roman" w:hAnsi="Times New Roman" w:cs="Times New Roman"/>
          <w:i/>
          <w:sz w:val="20"/>
          <w:szCs w:val="20"/>
          <w:lang w:val="en-US"/>
        </w:rPr>
        <w:t>TaxConf</w:t>
      </w:r>
      <w:proofErr w:type="spellEnd"/>
      <w:r w:rsidR="00240DC1" w:rsidRPr="002733DF">
        <w:rPr>
          <w:rFonts w:ascii="Times New Roman" w:eastAsia="Times New Roman" w:hAnsi="Times New Roman" w:cs="Times New Roman"/>
          <w:sz w:val="20"/>
          <w:szCs w:val="20"/>
          <w:lang w:val="en-US"/>
        </w:rPr>
        <w:t xml:space="preserve"> and </w:t>
      </w:r>
      <w:proofErr w:type="spellStart"/>
      <w:r w:rsidR="00240DC1" w:rsidRPr="002733DF">
        <w:rPr>
          <w:rFonts w:ascii="Times New Roman" w:eastAsia="Times New Roman" w:hAnsi="Times New Roman" w:cs="Times New Roman"/>
          <w:i/>
          <w:sz w:val="20"/>
          <w:szCs w:val="20"/>
          <w:lang w:val="en-US"/>
        </w:rPr>
        <w:t>TaxLit</w:t>
      </w:r>
      <w:proofErr w:type="spellEnd"/>
      <w:r w:rsidR="00240DC1" w:rsidRPr="002733DF">
        <w:rPr>
          <w:rFonts w:ascii="Times New Roman" w:eastAsia="Times New Roman" w:hAnsi="Times New Roman" w:cs="Times New Roman"/>
          <w:sz w:val="20"/>
          <w:szCs w:val="20"/>
          <w:lang w:val="en-US"/>
        </w:rPr>
        <w:t xml:space="preserve"> also suggests that the illusion of learning or intimidation of the complex US tax rules do not seem to </w:t>
      </w:r>
      <w:proofErr w:type="gramStart"/>
      <w:r w:rsidR="00240DC1" w:rsidRPr="002733DF">
        <w:rPr>
          <w:rFonts w:ascii="Times New Roman" w:eastAsia="Times New Roman" w:hAnsi="Times New Roman" w:cs="Times New Roman"/>
          <w:sz w:val="20"/>
          <w:szCs w:val="20"/>
          <w:lang w:val="en-US"/>
        </w:rPr>
        <w:t>have an effect on</w:t>
      </w:r>
      <w:proofErr w:type="gramEnd"/>
      <w:r w:rsidR="00240DC1" w:rsidRPr="002733DF">
        <w:rPr>
          <w:rFonts w:ascii="Times New Roman" w:eastAsia="Times New Roman" w:hAnsi="Times New Roman" w:cs="Times New Roman"/>
          <w:sz w:val="20"/>
          <w:szCs w:val="20"/>
          <w:lang w:val="en-US"/>
        </w:rPr>
        <w:t xml:space="preserve"> the student responders</w:t>
      </w:r>
      <w:r w:rsidR="00240736" w:rsidRPr="002733DF">
        <w:rPr>
          <w:rFonts w:ascii="Times New Roman" w:eastAsia="Times New Roman" w:hAnsi="Times New Roman" w:cs="Times New Roman"/>
          <w:sz w:val="20"/>
          <w:szCs w:val="20"/>
          <w:lang w:val="en-US"/>
        </w:rPr>
        <w:t>—participants are more confident in their tax ability when they have better tax literacy</w:t>
      </w:r>
      <w:r w:rsidR="00240DC1" w:rsidRPr="002733DF">
        <w:rPr>
          <w:rFonts w:ascii="Times New Roman" w:eastAsia="Times New Roman" w:hAnsi="Times New Roman" w:cs="Times New Roman"/>
          <w:sz w:val="20"/>
          <w:szCs w:val="20"/>
          <w:lang w:val="en-US"/>
        </w:rPr>
        <w:t xml:space="preserve">. </w:t>
      </w:r>
      <w:r w:rsidR="00CC2DD2" w:rsidRPr="002733DF">
        <w:rPr>
          <w:rFonts w:ascii="Times New Roman" w:eastAsia="Times New Roman" w:hAnsi="Times New Roman" w:cs="Times New Roman"/>
          <w:sz w:val="20"/>
          <w:szCs w:val="20"/>
          <w:lang w:val="en-US"/>
        </w:rPr>
        <w:t>Second</w:t>
      </w:r>
      <w:r w:rsidR="000C2ADA" w:rsidRPr="002733DF">
        <w:rPr>
          <w:rFonts w:ascii="Times New Roman" w:eastAsia="Times New Roman" w:hAnsi="Times New Roman" w:cs="Times New Roman"/>
          <w:sz w:val="20"/>
          <w:szCs w:val="20"/>
          <w:lang w:val="en-US"/>
        </w:rPr>
        <w:t xml:space="preserve">, </w:t>
      </w:r>
      <w:proofErr w:type="spellStart"/>
      <w:r w:rsidR="00CC2DD2" w:rsidRPr="002733DF">
        <w:rPr>
          <w:rFonts w:ascii="Times New Roman" w:eastAsia="Times New Roman" w:hAnsi="Times New Roman" w:cs="Times New Roman"/>
          <w:i/>
          <w:sz w:val="20"/>
          <w:szCs w:val="20"/>
          <w:lang w:val="en-US"/>
        </w:rPr>
        <w:t>FinConf</w:t>
      </w:r>
      <w:proofErr w:type="spellEnd"/>
      <w:r w:rsidR="00CC2DD2" w:rsidRPr="002733DF">
        <w:rPr>
          <w:rFonts w:ascii="Times New Roman" w:eastAsia="Times New Roman" w:hAnsi="Times New Roman" w:cs="Times New Roman"/>
          <w:sz w:val="20"/>
          <w:szCs w:val="20"/>
          <w:lang w:val="en-US"/>
        </w:rPr>
        <w:t xml:space="preserve"> </w:t>
      </w:r>
      <w:r w:rsidR="006405A4" w:rsidRPr="002733DF">
        <w:rPr>
          <w:rFonts w:ascii="Times New Roman" w:eastAsia="Times New Roman" w:hAnsi="Times New Roman" w:cs="Times New Roman"/>
          <w:sz w:val="20"/>
          <w:szCs w:val="20"/>
          <w:lang w:val="en-US"/>
        </w:rPr>
        <w:t xml:space="preserve">is strongly associated with </w:t>
      </w:r>
      <w:proofErr w:type="spellStart"/>
      <w:r w:rsidR="00CC2DD2" w:rsidRPr="002733DF">
        <w:rPr>
          <w:rFonts w:ascii="Times New Roman" w:eastAsia="Times New Roman" w:hAnsi="Times New Roman" w:cs="Times New Roman"/>
          <w:i/>
          <w:sz w:val="20"/>
          <w:szCs w:val="20"/>
          <w:lang w:val="en-US"/>
        </w:rPr>
        <w:t>TaxConf</w:t>
      </w:r>
      <w:proofErr w:type="spellEnd"/>
      <w:r w:rsidR="000C2ADA" w:rsidRPr="002733DF">
        <w:rPr>
          <w:rFonts w:ascii="Times New Roman" w:eastAsia="Times New Roman" w:hAnsi="Times New Roman" w:cs="Times New Roman"/>
          <w:sz w:val="20"/>
          <w:szCs w:val="20"/>
          <w:lang w:val="en-US"/>
        </w:rPr>
        <w:t xml:space="preserve"> </w:t>
      </w:r>
      <w:r w:rsidR="00860732" w:rsidRPr="002733DF">
        <w:rPr>
          <w:rFonts w:ascii="Times New Roman" w:eastAsia="Times New Roman" w:hAnsi="Times New Roman" w:cs="Times New Roman"/>
          <w:sz w:val="20"/>
          <w:szCs w:val="20"/>
          <w:lang w:val="en-US"/>
        </w:rPr>
        <w:t>(0.51,</w:t>
      </w:r>
      <w:r w:rsidR="000C2ADA" w:rsidRPr="002733DF">
        <w:rPr>
          <w:rFonts w:ascii="Times New Roman" w:eastAsia="Times New Roman" w:hAnsi="Times New Roman" w:cs="Times New Roman"/>
          <w:sz w:val="20"/>
          <w:szCs w:val="20"/>
          <w:lang w:val="en-US"/>
        </w:rPr>
        <w:t xml:space="preserve"> </w:t>
      </w:r>
      <w:r w:rsidR="000C2ADA" w:rsidRPr="002733DF">
        <w:rPr>
          <w:rFonts w:ascii="Times New Roman" w:eastAsia="Times New Roman" w:hAnsi="Times New Roman" w:cs="Times New Roman"/>
          <w:i/>
          <w:sz w:val="20"/>
          <w:szCs w:val="20"/>
          <w:lang w:val="en-US"/>
        </w:rPr>
        <w:t>p</w:t>
      </w:r>
      <w:r w:rsidR="000C2ADA" w:rsidRPr="002733DF">
        <w:rPr>
          <w:rFonts w:ascii="Times New Roman" w:eastAsia="Times New Roman" w:hAnsi="Times New Roman" w:cs="Times New Roman"/>
          <w:sz w:val="20"/>
          <w:szCs w:val="20"/>
          <w:lang w:val="en-US"/>
        </w:rPr>
        <w:t>-value</w:t>
      </w:r>
      <w:r w:rsidR="00860732" w:rsidRPr="002733DF">
        <w:rPr>
          <w:rFonts w:ascii="Times New Roman" w:eastAsia="Times New Roman" w:hAnsi="Times New Roman" w:cs="Times New Roman"/>
          <w:sz w:val="20"/>
          <w:szCs w:val="20"/>
          <w:lang w:val="en-US"/>
        </w:rPr>
        <w:t>&lt;0.01)</w:t>
      </w:r>
      <w:r w:rsidR="000C2ADA" w:rsidRPr="002733DF">
        <w:rPr>
          <w:rFonts w:ascii="Times New Roman" w:eastAsia="Times New Roman" w:hAnsi="Times New Roman" w:cs="Times New Roman"/>
          <w:sz w:val="20"/>
          <w:szCs w:val="20"/>
          <w:lang w:val="en-US"/>
        </w:rPr>
        <w:t xml:space="preserve">, while </w:t>
      </w:r>
      <w:proofErr w:type="spellStart"/>
      <w:r w:rsidR="00CC2DD2" w:rsidRPr="002733DF">
        <w:rPr>
          <w:rFonts w:ascii="Times New Roman" w:eastAsia="Times New Roman" w:hAnsi="Times New Roman" w:cs="Times New Roman"/>
          <w:i/>
          <w:sz w:val="20"/>
          <w:szCs w:val="20"/>
          <w:lang w:val="en-US"/>
        </w:rPr>
        <w:t>FinLit</w:t>
      </w:r>
      <w:proofErr w:type="spellEnd"/>
      <w:r w:rsidR="000C2ADA" w:rsidRPr="002733DF">
        <w:rPr>
          <w:rFonts w:ascii="Times New Roman" w:eastAsia="Times New Roman" w:hAnsi="Times New Roman" w:cs="Times New Roman"/>
          <w:sz w:val="20"/>
          <w:szCs w:val="20"/>
          <w:lang w:val="en-US"/>
        </w:rPr>
        <w:t xml:space="preserve"> score is </w:t>
      </w:r>
      <w:r w:rsidR="00860732" w:rsidRPr="002733DF">
        <w:rPr>
          <w:rFonts w:ascii="Times New Roman" w:eastAsia="Times New Roman" w:hAnsi="Times New Roman" w:cs="Times New Roman"/>
          <w:sz w:val="20"/>
          <w:szCs w:val="20"/>
          <w:lang w:val="en-US"/>
        </w:rPr>
        <w:t xml:space="preserve">negative and significantly </w:t>
      </w:r>
      <w:r w:rsidR="000C2ADA" w:rsidRPr="002733DF">
        <w:rPr>
          <w:rFonts w:ascii="Times New Roman" w:eastAsia="Times New Roman" w:hAnsi="Times New Roman" w:cs="Times New Roman"/>
          <w:sz w:val="20"/>
          <w:szCs w:val="20"/>
          <w:lang w:val="en-US"/>
        </w:rPr>
        <w:t xml:space="preserve">associated with </w:t>
      </w:r>
      <w:proofErr w:type="spellStart"/>
      <w:r w:rsidR="00CC2DD2" w:rsidRPr="002733DF">
        <w:rPr>
          <w:rFonts w:ascii="Times New Roman" w:eastAsia="Times New Roman" w:hAnsi="Times New Roman" w:cs="Times New Roman"/>
          <w:i/>
          <w:sz w:val="20"/>
          <w:szCs w:val="20"/>
          <w:lang w:val="en-US"/>
        </w:rPr>
        <w:t>TaxConf</w:t>
      </w:r>
      <w:proofErr w:type="spellEnd"/>
      <w:r w:rsidR="000C2ADA" w:rsidRPr="002733DF">
        <w:rPr>
          <w:rFonts w:ascii="Times New Roman" w:eastAsia="Times New Roman" w:hAnsi="Times New Roman" w:cs="Times New Roman"/>
          <w:sz w:val="20"/>
          <w:szCs w:val="20"/>
          <w:lang w:val="en-US"/>
        </w:rPr>
        <w:t xml:space="preserve"> </w:t>
      </w:r>
      <w:r w:rsidR="00860732" w:rsidRPr="002733DF">
        <w:rPr>
          <w:rFonts w:ascii="Times New Roman" w:eastAsia="Times New Roman" w:hAnsi="Times New Roman" w:cs="Times New Roman"/>
          <w:sz w:val="20"/>
          <w:szCs w:val="20"/>
          <w:lang w:val="en-US"/>
        </w:rPr>
        <w:t>(-0.61, p-value&lt;0.05)</w:t>
      </w:r>
      <w:r w:rsidR="000C2ADA" w:rsidRPr="002733DF">
        <w:rPr>
          <w:rFonts w:ascii="Times New Roman" w:eastAsia="Times New Roman" w:hAnsi="Times New Roman" w:cs="Times New Roman"/>
          <w:sz w:val="20"/>
          <w:szCs w:val="20"/>
          <w:lang w:val="en-US"/>
        </w:rPr>
        <w:t>.</w:t>
      </w:r>
      <w:r w:rsidR="002C32E8" w:rsidRPr="002733DF">
        <w:rPr>
          <w:rFonts w:ascii="Times New Roman" w:eastAsia="Times New Roman" w:hAnsi="Times New Roman" w:cs="Times New Roman"/>
          <w:sz w:val="20"/>
          <w:szCs w:val="20"/>
          <w:lang w:val="en-US"/>
        </w:rPr>
        <w:t xml:space="preserve"> The positive coefficient for </w:t>
      </w:r>
      <w:proofErr w:type="spellStart"/>
      <w:r w:rsidR="002C32E8" w:rsidRPr="002733DF">
        <w:rPr>
          <w:rFonts w:ascii="Times New Roman" w:eastAsia="Times New Roman" w:hAnsi="Times New Roman" w:cs="Times New Roman"/>
          <w:i/>
          <w:sz w:val="20"/>
          <w:szCs w:val="20"/>
          <w:lang w:val="en-US"/>
        </w:rPr>
        <w:t>FinConf</w:t>
      </w:r>
      <w:proofErr w:type="spellEnd"/>
      <w:r w:rsidR="002C32E8" w:rsidRPr="002733DF">
        <w:rPr>
          <w:rFonts w:ascii="Times New Roman" w:eastAsia="Times New Roman" w:hAnsi="Times New Roman" w:cs="Times New Roman"/>
          <w:sz w:val="20"/>
          <w:szCs w:val="20"/>
          <w:lang w:val="en-US"/>
        </w:rPr>
        <w:t xml:space="preserve"> shows that respondents’ confidence in their financial knowledge can be extended to their confidence in tax knowledge, consistent with the finding in Lyon and Caitlin (2020).</w:t>
      </w:r>
      <w:r w:rsidR="000C2ADA" w:rsidRPr="002733DF">
        <w:rPr>
          <w:rFonts w:ascii="Times New Roman" w:eastAsia="Times New Roman" w:hAnsi="Times New Roman" w:cs="Times New Roman"/>
          <w:sz w:val="20"/>
          <w:szCs w:val="20"/>
          <w:lang w:val="en-US"/>
        </w:rPr>
        <w:t xml:space="preserve"> </w:t>
      </w:r>
      <w:r w:rsidR="002C32E8" w:rsidRPr="002733DF">
        <w:rPr>
          <w:rFonts w:ascii="Times New Roman" w:eastAsia="Times New Roman" w:hAnsi="Times New Roman" w:cs="Times New Roman"/>
          <w:sz w:val="20"/>
          <w:szCs w:val="20"/>
          <w:lang w:val="en-US"/>
        </w:rPr>
        <w:t xml:space="preserve">The negative association between </w:t>
      </w:r>
      <w:proofErr w:type="spellStart"/>
      <w:r w:rsidR="002C32E8" w:rsidRPr="002733DF">
        <w:rPr>
          <w:rFonts w:ascii="Times New Roman" w:eastAsia="Times New Roman" w:hAnsi="Times New Roman" w:cs="Times New Roman"/>
          <w:i/>
          <w:sz w:val="20"/>
          <w:szCs w:val="20"/>
          <w:lang w:val="en-US"/>
        </w:rPr>
        <w:t>FinLit</w:t>
      </w:r>
      <w:proofErr w:type="spellEnd"/>
      <w:r w:rsidR="002C32E8" w:rsidRPr="002733DF">
        <w:rPr>
          <w:rFonts w:ascii="Times New Roman" w:eastAsia="Times New Roman" w:hAnsi="Times New Roman" w:cs="Times New Roman"/>
          <w:sz w:val="20"/>
          <w:szCs w:val="20"/>
          <w:lang w:val="en-US"/>
        </w:rPr>
        <w:t xml:space="preserve"> and </w:t>
      </w:r>
      <w:proofErr w:type="spellStart"/>
      <w:r w:rsidR="002C32E8" w:rsidRPr="002733DF">
        <w:rPr>
          <w:rFonts w:ascii="Times New Roman" w:eastAsia="Times New Roman" w:hAnsi="Times New Roman" w:cs="Times New Roman"/>
          <w:i/>
          <w:sz w:val="20"/>
          <w:szCs w:val="20"/>
          <w:lang w:val="en-US"/>
        </w:rPr>
        <w:t>TaxConf</w:t>
      </w:r>
      <w:proofErr w:type="spellEnd"/>
      <w:r w:rsidR="002C32E8" w:rsidRPr="002733DF">
        <w:rPr>
          <w:rFonts w:ascii="Times New Roman" w:eastAsia="Times New Roman" w:hAnsi="Times New Roman" w:cs="Times New Roman"/>
          <w:sz w:val="20"/>
          <w:szCs w:val="20"/>
          <w:lang w:val="en-US"/>
        </w:rPr>
        <w:t xml:space="preserve"> is interesting, because it shows that respondents who are more financial literate are less confident about their tax knowledge, suggesting the “intimidation effect” of taxation by those who </w:t>
      </w:r>
      <w:r w:rsidR="00240736" w:rsidRPr="002733DF">
        <w:rPr>
          <w:rFonts w:ascii="Times New Roman" w:eastAsia="Times New Roman" w:hAnsi="Times New Roman" w:cs="Times New Roman"/>
          <w:sz w:val="20"/>
          <w:szCs w:val="20"/>
          <w:lang w:val="en-US"/>
        </w:rPr>
        <w:t xml:space="preserve">have more knowledge about general </w:t>
      </w:r>
      <w:r w:rsidR="002C32E8" w:rsidRPr="002733DF">
        <w:rPr>
          <w:rFonts w:ascii="Times New Roman" w:eastAsia="Times New Roman" w:hAnsi="Times New Roman" w:cs="Times New Roman"/>
          <w:sz w:val="20"/>
          <w:szCs w:val="20"/>
          <w:lang w:val="en-US"/>
        </w:rPr>
        <w:t xml:space="preserve">finance. The coefficient for </w:t>
      </w:r>
      <w:proofErr w:type="spellStart"/>
      <w:r w:rsidR="002C32E8" w:rsidRPr="002733DF">
        <w:rPr>
          <w:rFonts w:ascii="Times New Roman" w:eastAsia="Times New Roman" w:hAnsi="Times New Roman" w:cs="Times New Roman"/>
          <w:i/>
          <w:sz w:val="20"/>
          <w:szCs w:val="20"/>
          <w:lang w:val="en-US"/>
        </w:rPr>
        <w:t>PaperFile</w:t>
      </w:r>
      <w:proofErr w:type="spellEnd"/>
      <w:r w:rsidR="002C32E8" w:rsidRPr="002733DF">
        <w:rPr>
          <w:rFonts w:ascii="Times New Roman" w:eastAsia="Times New Roman" w:hAnsi="Times New Roman" w:cs="Times New Roman"/>
          <w:sz w:val="20"/>
          <w:szCs w:val="20"/>
          <w:lang w:val="en-US"/>
        </w:rPr>
        <w:t xml:space="preserve"> is positive and significant (0.51, p-value&lt;0.01) and the coefficient for </w:t>
      </w:r>
      <w:proofErr w:type="spellStart"/>
      <w:r w:rsidR="002C32E8" w:rsidRPr="002733DF">
        <w:rPr>
          <w:rFonts w:ascii="Times New Roman" w:eastAsia="Times New Roman" w:hAnsi="Times New Roman" w:cs="Times New Roman"/>
          <w:i/>
          <w:sz w:val="20"/>
          <w:szCs w:val="20"/>
          <w:lang w:val="en-US"/>
        </w:rPr>
        <w:t>SoftwareFile</w:t>
      </w:r>
      <w:proofErr w:type="spellEnd"/>
      <w:r w:rsidR="002C32E8" w:rsidRPr="002733DF">
        <w:rPr>
          <w:rFonts w:ascii="Times New Roman" w:eastAsia="Times New Roman" w:hAnsi="Times New Roman" w:cs="Times New Roman"/>
          <w:sz w:val="20"/>
          <w:szCs w:val="20"/>
          <w:lang w:val="en-US"/>
        </w:rPr>
        <w:t xml:space="preserve"> is positive and weakly significant (0.24, p-value&lt;0.10). None of the other demographic variables such as </w:t>
      </w:r>
      <w:r w:rsidR="002C32E8" w:rsidRPr="002733DF">
        <w:rPr>
          <w:rFonts w:ascii="Times New Roman" w:eastAsia="Times New Roman" w:hAnsi="Times New Roman" w:cs="Times New Roman"/>
          <w:i/>
          <w:sz w:val="20"/>
          <w:szCs w:val="20"/>
          <w:lang w:val="en-US"/>
        </w:rPr>
        <w:t>Age</w:t>
      </w:r>
      <w:r w:rsidR="002C32E8" w:rsidRPr="002733DF">
        <w:rPr>
          <w:rFonts w:ascii="Times New Roman" w:eastAsia="Times New Roman" w:hAnsi="Times New Roman" w:cs="Times New Roman"/>
          <w:sz w:val="20"/>
          <w:szCs w:val="20"/>
          <w:lang w:val="en-US"/>
        </w:rPr>
        <w:t xml:space="preserve">, </w:t>
      </w:r>
      <w:r w:rsidR="002C32E8" w:rsidRPr="002733DF">
        <w:rPr>
          <w:rFonts w:ascii="Times New Roman" w:eastAsia="Times New Roman" w:hAnsi="Times New Roman" w:cs="Times New Roman"/>
          <w:i/>
          <w:sz w:val="20"/>
          <w:szCs w:val="20"/>
          <w:lang w:val="en-US"/>
        </w:rPr>
        <w:t>Gender</w:t>
      </w:r>
      <w:r w:rsidR="002C32E8" w:rsidRPr="002733DF">
        <w:rPr>
          <w:rFonts w:ascii="Times New Roman" w:eastAsia="Times New Roman" w:hAnsi="Times New Roman" w:cs="Times New Roman"/>
          <w:sz w:val="20"/>
          <w:szCs w:val="20"/>
          <w:lang w:val="en-US"/>
        </w:rPr>
        <w:t xml:space="preserve">, </w:t>
      </w:r>
      <w:proofErr w:type="spellStart"/>
      <w:r w:rsidR="002C32E8" w:rsidRPr="002733DF">
        <w:rPr>
          <w:rFonts w:ascii="Times New Roman" w:eastAsia="Times New Roman" w:hAnsi="Times New Roman" w:cs="Times New Roman"/>
          <w:i/>
          <w:sz w:val="20"/>
          <w:szCs w:val="20"/>
          <w:lang w:val="en-US"/>
        </w:rPr>
        <w:t>WrkExp</w:t>
      </w:r>
      <w:proofErr w:type="spellEnd"/>
      <w:r w:rsidR="002C32E8" w:rsidRPr="002733DF">
        <w:rPr>
          <w:rFonts w:ascii="Times New Roman" w:eastAsia="Times New Roman" w:hAnsi="Times New Roman" w:cs="Times New Roman"/>
          <w:sz w:val="20"/>
          <w:szCs w:val="20"/>
          <w:lang w:val="en-US"/>
        </w:rPr>
        <w:t xml:space="preserve">, </w:t>
      </w:r>
      <w:proofErr w:type="spellStart"/>
      <w:r w:rsidR="002C32E8" w:rsidRPr="002733DF">
        <w:rPr>
          <w:rFonts w:ascii="Times New Roman" w:eastAsia="Times New Roman" w:hAnsi="Times New Roman" w:cs="Times New Roman"/>
          <w:i/>
          <w:sz w:val="20"/>
          <w:szCs w:val="20"/>
          <w:lang w:val="en-US"/>
        </w:rPr>
        <w:t>FinExp</w:t>
      </w:r>
      <w:proofErr w:type="spellEnd"/>
      <w:r w:rsidR="002C32E8" w:rsidRPr="002733DF">
        <w:rPr>
          <w:rFonts w:ascii="Times New Roman" w:eastAsia="Times New Roman" w:hAnsi="Times New Roman" w:cs="Times New Roman"/>
          <w:sz w:val="20"/>
          <w:szCs w:val="20"/>
          <w:lang w:val="en-US"/>
        </w:rPr>
        <w:t xml:space="preserve">, or </w:t>
      </w:r>
      <w:r w:rsidR="002C32E8" w:rsidRPr="002733DF">
        <w:rPr>
          <w:rFonts w:ascii="Times New Roman" w:eastAsia="Times New Roman" w:hAnsi="Times New Roman" w:cs="Times New Roman"/>
          <w:i/>
          <w:sz w:val="20"/>
          <w:szCs w:val="20"/>
          <w:lang w:val="en-US"/>
        </w:rPr>
        <w:t>Income</w:t>
      </w:r>
      <w:r w:rsidR="002C32E8" w:rsidRPr="002733DF">
        <w:rPr>
          <w:rFonts w:ascii="Times New Roman" w:eastAsia="Times New Roman" w:hAnsi="Times New Roman" w:cs="Times New Roman"/>
          <w:sz w:val="20"/>
          <w:szCs w:val="20"/>
          <w:lang w:val="en-US"/>
        </w:rPr>
        <w:t xml:space="preserve"> </w:t>
      </w:r>
      <w:proofErr w:type="gramStart"/>
      <w:r w:rsidR="002C32E8" w:rsidRPr="002733DF">
        <w:rPr>
          <w:rFonts w:ascii="Times New Roman" w:eastAsia="Times New Roman" w:hAnsi="Times New Roman" w:cs="Times New Roman"/>
          <w:sz w:val="20"/>
          <w:szCs w:val="20"/>
          <w:lang w:val="en-US"/>
        </w:rPr>
        <w:t>are</w:t>
      </w:r>
      <w:proofErr w:type="gramEnd"/>
      <w:r w:rsidR="002C32E8" w:rsidRPr="002733DF">
        <w:rPr>
          <w:rFonts w:ascii="Times New Roman" w:eastAsia="Times New Roman" w:hAnsi="Times New Roman" w:cs="Times New Roman"/>
          <w:sz w:val="20"/>
          <w:szCs w:val="20"/>
          <w:lang w:val="en-US"/>
        </w:rPr>
        <w:t xml:space="preserve"> significant.</w:t>
      </w:r>
      <w:r w:rsidR="000C2ADA" w:rsidRPr="002733DF">
        <w:rPr>
          <w:rFonts w:ascii="Times New Roman" w:eastAsia="Times New Roman" w:hAnsi="Times New Roman" w:cs="Times New Roman"/>
          <w:sz w:val="20"/>
          <w:szCs w:val="20"/>
          <w:lang w:val="en-US"/>
        </w:rPr>
        <w:t xml:space="preserve"> </w:t>
      </w:r>
      <w:r w:rsidR="002C32E8" w:rsidRPr="002733DF">
        <w:rPr>
          <w:rFonts w:ascii="Times New Roman" w:eastAsia="Times New Roman" w:hAnsi="Times New Roman" w:cs="Times New Roman"/>
          <w:sz w:val="20"/>
          <w:szCs w:val="20"/>
          <w:lang w:val="en-US"/>
        </w:rPr>
        <w:t xml:space="preserve">Therefore, respondents’ tax confidence does not seem </w:t>
      </w:r>
      <w:r w:rsidR="003B20C7" w:rsidRPr="002733DF">
        <w:rPr>
          <w:rFonts w:ascii="Times New Roman" w:eastAsia="Times New Roman" w:hAnsi="Times New Roman" w:cs="Times New Roman"/>
          <w:sz w:val="20"/>
          <w:szCs w:val="20"/>
          <w:lang w:val="en-US"/>
        </w:rPr>
        <w:t xml:space="preserve">to be </w:t>
      </w:r>
      <w:r w:rsidR="002C32E8" w:rsidRPr="002733DF">
        <w:rPr>
          <w:rFonts w:ascii="Times New Roman" w:eastAsia="Times New Roman" w:hAnsi="Times New Roman" w:cs="Times New Roman"/>
          <w:sz w:val="20"/>
          <w:szCs w:val="20"/>
          <w:lang w:val="en-US"/>
        </w:rPr>
        <w:t xml:space="preserve">related to </w:t>
      </w:r>
      <w:r w:rsidR="003B20C7" w:rsidRPr="002733DF">
        <w:rPr>
          <w:rFonts w:ascii="Times New Roman" w:eastAsia="Times New Roman" w:hAnsi="Times New Roman" w:cs="Times New Roman"/>
          <w:sz w:val="20"/>
          <w:szCs w:val="20"/>
          <w:lang w:val="en-US"/>
        </w:rPr>
        <w:t>real</w:t>
      </w:r>
      <w:r w:rsidR="002C32E8" w:rsidRPr="002733DF">
        <w:rPr>
          <w:rFonts w:ascii="Times New Roman" w:eastAsia="Times New Roman" w:hAnsi="Times New Roman" w:cs="Times New Roman"/>
          <w:sz w:val="20"/>
          <w:szCs w:val="20"/>
          <w:lang w:val="en-US"/>
        </w:rPr>
        <w:t xml:space="preserve"> life experiences except </w:t>
      </w:r>
      <w:r w:rsidR="00240736" w:rsidRPr="002733DF">
        <w:rPr>
          <w:rFonts w:ascii="Times New Roman" w:eastAsia="Times New Roman" w:hAnsi="Times New Roman" w:cs="Times New Roman"/>
          <w:sz w:val="20"/>
          <w:szCs w:val="20"/>
          <w:lang w:val="en-US"/>
        </w:rPr>
        <w:t xml:space="preserve">for </w:t>
      </w:r>
      <w:r w:rsidR="003B20C7" w:rsidRPr="002733DF">
        <w:rPr>
          <w:rFonts w:ascii="Times New Roman" w:eastAsia="Times New Roman" w:hAnsi="Times New Roman" w:cs="Times New Roman"/>
          <w:sz w:val="20"/>
          <w:szCs w:val="20"/>
          <w:lang w:val="en-US"/>
        </w:rPr>
        <w:t xml:space="preserve">filing a </w:t>
      </w:r>
      <w:r w:rsidR="002C32E8" w:rsidRPr="002733DF">
        <w:rPr>
          <w:rFonts w:ascii="Times New Roman" w:eastAsia="Times New Roman" w:hAnsi="Times New Roman" w:cs="Times New Roman"/>
          <w:sz w:val="20"/>
          <w:szCs w:val="20"/>
          <w:lang w:val="en-US"/>
        </w:rPr>
        <w:t>tax return.</w:t>
      </w:r>
      <w:r w:rsidR="002733DF">
        <w:rPr>
          <w:rFonts w:ascii="Times New Roman" w:eastAsia="Times New Roman" w:hAnsi="Times New Roman" w:cs="Times New Roman"/>
          <w:sz w:val="20"/>
          <w:szCs w:val="20"/>
          <w:lang w:val="en-US"/>
        </w:rPr>
        <w:t xml:space="preserve">  </w:t>
      </w:r>
    </w:p>
    <w:p w14:paraId="32904CB1" w14:textId="77777777" w:rsidR="002733DF" w:rsidRPr="002733DF" w:rsidRDefault="002733DF" w:rsidP="00C45D4F">
      <w:pPr>
        <w:rPr>
          <w:rFonts w:ascii="Times New Roman" w:eastAsia="Times New Roman" w:hAnsi="Times New Roman" w:cs="Times New Roman"/>
          <w:sz w:val="20"/>
          <w:szCs w:val="20"/>
          <w:lang w:val="en-US"/>
        </w:rPr>
      </w:pPr>
    </w:p>
    <w:p w14:paraId="591F9CC9" w14:textId="0A6E80B2" w:rsidR="003B20C7" w:rsidRDefault="003B20C7" w:rsidP="00C45D4F">
      <w:pPr>
        <w:rPr>
          <w:rFonts w:ascii="Times New Roman" w:eastAsia="Times New Roman" w:hAnsi="Times New Roman" w:cs="Times New Roman"/>
          <w:sz w:val="20"/>
          <w:szCs w:val="20"/>
          <w:lang w:val="en-US"/>
        </w:rPr>
      </w:pPr>
      <w:r w:rsidRPr="002733DF">
        <w:rPr>
          <w:rFonts w:ascii="Times New Roman" w:eastAsia="Times New Roman" w:hAnsi="Times New Roman" w:cs="Times New Roman"/>
          <w:sz w:val="20"/>
          <w:szCs w:val="20"/>
          <w:lang w:val="en-US"/>
        </w:rPr>
        <w:t>In Model 2</w:t>
      </w:r>
      <w:r w:rsidR="00612E38" w:rsidRPr="002733DF">
        <w:rPr>
          <w:rFonts w:ascii="Times New Roman" w:eastAsia="Times New Roman" w:hAnsi="Times New Roman" w:cs="Times New Roman"/>
          <w:sz w:val="20"/>
          <w:szCs w:val="20"/>
          <w:lang w:val="en-US"/>
        </w:rPr>
        <w:t xml:space="preserve">, we include only the demographic variables and </w:t>
      </w:r>
      <w:proofErr w:type="spellStart"/>
      <w:r w:rsidR="00612E38" w:rsidRPr="002733DF">
        <w:rPr>
          <w:rFonts w:ascii="Times New Roman" w:eastAsia="Times New Roman" w:hAnsi="Times New Roman" w:cs="Times New Roman"/>
          <w:i/>
          <w:sz w:val="20"/>
          <w:szCs w:val="20"/>
          <w:lang w:val="en-US"/>
        </w:rPr>
        <w:t>IntroAcctg</w:t>
      </w:r>
      <w:proofErr w:type="spellEnd"/>
      <w:r w:rsidR="00612E38" w:rsidRPr="002733DF">
        <w:rPr>
          <w:rFonts w:ascii="Times New Roman" w:eastAsia="Times New Roman" w:hAnsi="Times New Roman" w:cs="Times New Roman"/>
          <w:sz w:val="20"/>
          <w:szCs w:val="20"/>
          <w:lang w:val="en-US"/>
        </w:rPr>
        <w:t xml:space="preserve"> and </w:t>
      </w:r>
      <w:proofErr w:type="spellStart"/>
      <w:r w:rsidR="00612E38" w:rsidRPr="002733DF">
        <w:rPr>
          <w:rFonts w:ascii="Times New Roman" w:eastAsia="Times New Roman" w:hAnsi="Times New Roman" w:cs="Times New Roman"/>
          <w:i/>
          <w:sz w:val="20"/>
          <w:szCs w:val="20"/>
          <w:lang w:val="en-US"/>
        </w:rPr>
        <w:t>UpperAcctg</w:t>
      </w:r>
      <w:proofErr w:type="spellEnd"/>
      <w:r w:rsidR="00612E38" w:rsidRPr="002733DF">
        <w:rPr>
          <w:rFonts w:ascii="Times New Roman" w:eastAsia="Times New Roman" w:hAnsi="Times New Roman" w:cs="Times New Roman"/>
          <w:sz w:val="20"/>
          <w:szCs w:val="20"/>
          <w:lang w:val="en-US"/>
        </w:rPr>
        <w:t xml:space="preserve"> in the regression</w:t>
      </w:r>
      <w:r w:rsidR="00240736" w:rsidRPr="002733DF">
        <w:rPr>
          <w:rFonts w:ascii="Times New Roman" w:eastAsia="Times New Roman" w:hAnsi="Times New Roman" w:cs="Times New Roman"/>
          <w:sz w:val="20"/>
          <w:szCs w:val="20"/>
          <w:lang w:val="en-US"/>
        </w:rPr>
        <w:t xml:space="preserve"> to find the effects of non-tax accounting education in participants’ tax confidence</w:t>
      </w:r>
      <w:r w:rsidR="00612E38" w:rsidRPr="002733DF">
        <w:rPr>
          <w:rFonts w:ascii="Times New Roman" w:eastAsia="Times New Roman" w:hAnsi="Times New Roman" w:cs="Times New Roman"/>
          <w:sz w:val="20"/>
          <w:szCs w:val="20"/>
          <w:lang w:val="en-US"/>
        </w:rPr>
        <w:t xml:space="preserve">. The coefficient for </w:t>
      </w:r>
      <w:proofErr w:type="spellStart"/>
      <w:r w:rsidR="00612E38" w:rsidRPr="002733DF">
        <w:rPr>
          <w:rFonts w:ascii="Times New Roman" w:eastAsia="Times New Roman" w:hAnsi="Times New Roman" w:cs="Times New Roman"/>
          <w:i/>
          <w:sz w:val="20"/>
          <w:szCs w:val="20"/>
          <w:lang w:val="en-US"/>
        </w:rPr>
        <w:t>UpperAcctg</w:t>
      </w:r>
      <w:proofErr w:type="spellEnd"/>
      <w:r w:rsidR="00612E38" w:rsidRPr="002733DF">
        <w:rPr>
          <w:rFonts w:ascii="Times New Roman" w:eastAsia="Times New Roman" w:hAnsi="Times New Roman" w:cs="Times New Roman"/>
          <w:sz w:val="20"/>
          <w:szCs w:val="20"/>
          <w:lang w:val="en-US"/>
        </w:rPr>
        <w:t xml:space="preserve"> is positive and significant (0.60, p-value&lt;0.01) but the coefficient for </w:t>
      </w:r>
      <w:proofErr w:type="spellStart"/>
      <w:r w:rsidR="00612E38" w:rsidRPr="002733DF">
        <w:rPr>
          <w:rFonts w:ascii="Times New Roman" w:eastAsia="Times New Roman" w:hAnsi="Times New Roman" w:cs="Times New Roman"/>
          <w:i/>
          <w:sz w:val="20"/>
          <w:szCs w:val="20"/>
          <w:lang w:val="en-US"/>
        </w:rPr>
        <w:t>IntroAcctg</w:t>
      </w:r>
      <w:proofErr w:type="spellEnd"/>
      <w:r w:rsidR="00612E38" w:rsidRPr="002733DF">
        <w:rPr>
          <w:rFonts w:ascii="Times New Roman" w:eastAsia="Times New Roman" w:hAnsi="Times New Roman" w:cs="Times New Roman"/>
          <w:sz w:val="20"/>
          <w:szCs w:val="20"/>
          <w:lang w:val="en-US"/>
        </w:rPr>
        <w:t xml:space="preserve"> is not significant. Therefore, the results in Model 2 </w:t>
      </w:r>
      <w:proofErr w:type="gramStart"/>
      <w:r w:rsidR="00612E38" w:rsidRPr="002733DF">
        <w:rPr>
          <w:rFonts w:ascii="Times New Roman" w:eastAsia="Times New Roman" w:hAnsi="Times New Roman" w:cs="Times New Roman"/>
          <w:sz w:val="20"/>
          <w:szCs w:val="20"/>
          <w:lang w:val="en-US"/>
        </w:rPr>
        <w:t>shows</w:t>
      </w:r>
      <w:proofErr w:type="gramEnd"/>
      <w:r w:rsidR="00612E38" w:rsidRPr="002733DF">
        <w:rPr>
          <w:rFonts w:ascii="Times New Roman" w:eastAsia="Times New Roman" w:hAnsi="Times New Roman" w:cs="Times New Roman"/>
          <w:sz w:val="20"/>
          <w:szCs w:val="20"/>
          <w:lang w:val="en-US"/>
        </w:rPr>
        <w:t xml:space="preserve"> that only </w:t>
      </w:r>
      <w:proofErr w:type="gramStart"/>
      <w:r w:rsidR="00612E38" w:rsidRPr="002733DF">
        <w:rPr>
          <w:rFonts w:ascii="Times New Roman" w:eastAsia="Times New Roman" w:hAnsi="Times New Roman" w:cs="Times New Roman"/>
          <w:sz w:val="20"/>
          <w:szCs w:val="20"/>
          <w:lang w:val="en-US"/>
        </w:rPr>
        <w:t>upper level</w:t>
      </w:r>
      <w:proofErr w:type="gramEnd"/>
      <w:r w:rsidR="00612E38" w:rsidRPr="002733DF">
        <w:rPr>
          <w:rFonts w:ascii="Times New Roman" w:eastAsia="Times New Roman" w:hAnsi="Times New Roman" w:cs="Times New Roman"/>
          <w:sz w:val="20"/>
          <w:szCs w:val="20"/>
          <w:lang w:val="en-US"/>
        </w:rPr>
        <w:t xml:space="preserve"> courses appear to be correlated with tax confidence. The coefficients for </w:t>
      </w:r>
      <w:proofErr w:type="spellStart"/>
      <w:r w:rsidR="00612E38" w:rsidRPr="002733DF">
        <w:rPr>
          <w:rFonts w:ascii="Times New Roman" w:eastAsia="Times New Roman" w:hAnsi="Times New Roman" w:cs="Times New Roman"/>
          <w:i/>
          <w:sz w:val="20"/>
          <w:szCs w:val="20"/>
          <w:lang w:val="en-US"/>
        </w:rPr>
        <w:t>PaperFile</w:t>
      </w:r>
      <w:proofErr w:type="spellEnd"/>
      <w:r w:rsidR="00612E38" w:rsidRPr="002733DF">
        <w:rPr>
          <w:rFonts w:ascii="Times New Roman" w:eastAsia="Times New Roman" w:hAnsi="Times New Roman" w:cs="Times New Roman"/>
          <w:sz w:val="20"/>
          <w:szCs w:val="20"/>
          <w:lang w:val="en-US"/>
        </w:rPr>
        <w:t xml:space="preserve"> and </w:t>
      </w:r>
      <w:proofErr w:type="spellStart"/>
      <w:r w:rsidR="00612E38" w:rsidRPr="002733DF">
        <w:rPr>
          <w:rFonts w:ascii="Times New Roman" w:eastAsia="Times New Roman" w:hAnsi="Times New Roman" w:cs="Times New Roman"/>
          <w:i/>
          <w:sz w:val="20"/>
          <w:szCs w:val="20"/>
          <w:lang w:val="en-US"/>
        </w:rPr>
        <w:t>SoftwareFile</w:t>
      </w:r>
      <w:proofErr w:type="spellEnd"/>
      <w:r w:rsidR="00612E38" w:rsidRPr="002733DF">
        <w:rPr>
          <w:rFonts w:ascii="Times New Roman" w:eastAsia="Times New Roman" w:hAnsi="Times New Roman" w:cs="Times New Roman"/>
          <w:sz w:val="20"/>
          <w:szCs w:val="20"/>
          <w:lang w:val="en-US"/>
        </w:rPr>
        <w:t xml:space="preserve"> are both positive and significant. The coefficient for </w:t>
      </w:r>
      <w:r w:rsidR="00612E38" w:rsidRPr="002733DF">
        <w:rPr>
          <w:rFonts w:ascii="Times New Roman" w:eastAsia="Times New Roman" w:hAnsi="Times New Roman" w:cs="Times New Roman"/>
          <w:i/>
          <w:sz w:val="20"/>
          <w:szCs w:val="20"/>
          <w:lang w:val="en-US"/>
        </w:rPr>
        <w:t>Gender</w:t>
      </w:r>
      <w:r w:rsidR="00612E38" w:rsidRPr="002733DF">
        <w:rPr>
          <w:rFonts w:ascii="Times New Roman" w:eastAsia="Times New Roman" w:hAnsi="Times New Roman" w:cs="Times New Roman"/>
          <w:sz w:val="20"/>
          <w:szCs w:val="20"/>
          <w:lang w:val="en-US"/>
        </w:rPr>
        <w:t xml:space="preserve"> is positive and weakly significant but other demographic variables are not significant.</w:t>
      </w:r>
      <w:r w:rsidR="002733DF">
        <w:rPr>
          <w:rFonts w:ascii="Times New Roman" w:eastAsia="Times New Roman" w:hAnsi="Times New Roman" w:cs="Times New Roman"/>
          <w:sz w:val="20"/>
          <w:szCs w:val="20"/>
          <w:lang w:val="en-US"/>
        </w:rPr>
        <w:t xml:space="preserve">  </w:t>
      </w:r>
    </w:p>
    <w:p w14:paraId="468A3872" w14:textId="77777777" w:rsidR="002733DF" w:rsidRPr="002733DF" w:rsidRDefault="002733DF" w:rsidP="00C45D4F">
      <w:pPr>
        <w:rPr>
          <w:rFonts w:ascii="Times New Roman" w:eastAsia="Times New Roman" w:hAnsi="Times New Roman" w:cs="Times New Roman"/>
          <w:sz w:val="20"/>
          <w:szCs w:val="20"/>
          <w:lang w:val="en-US"/>
        </w:rPr>
      </w:pPr>
    </w:p>
    <w:p w14:paraId="4604866E" w14:textId="1C1ACC3A" w:rsidR="00612E38" w:rsidRDefault="00612E38" w:rsidP="00C45D4F">
      <w:pPr>
        <w:rPr>
          <w:rFonts w:ascii="Times New Roman" w:eastAsia="Times New Roman" w:hAnsi="Times New Roman" w:cs="Times New Roman"/>
          <w:sz w:val="20"/>
          <w:szCs w:val="20"/>
          <w:lang w:val="en-US"/>
        </w:rPr>
      </w:pPr>
      <w:r w:rsidRPr="002733DF">
        <w:rPr>
          <w:rFonts w:ascii="Times New Roman" w:eastAsia="Times New Roman" w:hAnsi="Times New Roman" w:cs="Times New Roman"/>
          <w:sz w:val="20"/>
          <w:szCs w:val="20"/>
          <w:lang w:val="en-US"/>
        </w:rPr>
        <w:t xml:space="preserve">In Model 3, we include only the demographic variables and </w:t>
      </w:r>
      <w:proofErr w:type="spellStart"/>
      <w:r w:rsidRPr="002733DF">
        <w:rPr>
          <w:rFonts w:ascii="Times New Roman" w:eastAsia="Times New Roman" w:hAnsi="Times New Roman" w:cs="Times New Roman"/>
          <w:i/>
          <w:sz w:val="20"/>
          <w:szCs w:val="20"/>
          <w:lang w:val="en-US"/>
        </w:rPr>
        <w:t>IntroTax</w:t>
      </w:r>
      <w:proofErr w:type="spellEnd"/>
      <w:r w:rsidRPr="002733DF">
        <w:rPr>
          <w:rFonts w:ascii="Times New Roman" w:eastAsia="Times New Roman" w:hAnsi="Times New Roman" w:cs="Times New Roman"/>
          <w:sz w:val="20"/>
          <w:szCs w:val="20"/>
          <w:lang w:val="en-US"/>
        </w:rPr>
        <w:t xml:space="preserve"> and </w:t>
      </w:r>
      <w:proofErr w:type="spellStart"/>
      <w:r w:rsidRPr="002733DF">
        <w:rPr>
          <w:rFonts w:ascii="Times New Roman" w:eastAsia="Times New Roman" w:hAnsi="Times New Roman" w:cs="Times New Roman"/>
          <w:i/>
          <w:sz w:val="20"/>
          <w:szCs w:val="20"/>
          <w:lang w:val="en-US"/>
        </w:rPr>
        <w:t>UpperTax</w:t>
      </w:r>
      <w:proofErr w:type="spellEnd"/>
      <w:r w:rsidR="00F14EE8" w:rsidRPr="002733DF">
        <w:rPr>
          <w:rFonts w:ascii="Times New Roman" w:eastAsia="Times New Roman" w:hAnsi="Times New Roman" w:cs="Times New Roman"/>
          <w:sz w:val="20"/>
          <w:szCs w:val="20"/>
          <w:lang w:val="en-US"/>
        </w:rPr>
        <w:t xml:space="preserve"> </w:t>
      </w:r>
      <w:r w:rsidRPr="002733DF">
        <w:rPr>
          <w:rFonts w:ascii="Times New Roman" w:eastAsia="Times New Roman" w:hAnsi="Times New Roman" w:cs="Times New Roman"/>
          <w:sz w:val="20"/>
          <w:szCs w:val="20"/>
          <w:lang w:val="en-US"/>
        </w:rPr>
        <w:t xml:space="preserve">in the regression. The coefficients for both </w:t>
      </w:r>
      <w:proofErr w:type="spellStart"/>
      <w:r w:rsidRPr="002733DF">
        <w:rPr>
          <w:rFonts w:ascii="Times New Roman" w:eastAsia="Times New Roman" w:hAnsi="Times New Roman" w:cs="Times New Roman"/>
          <w:i/>
          <w:sz w:val="20"/>
          <w:szCs w:val="20"/>
          <w:lang w:val="en-US"/>
        </w:rPr>
        <w:t>IntroTax</w:t>
      </w:r>
      <w:proofErr w:type="spellEnd"/>
      <w:r w:rsidRPr="002733DF">
        <w:rPr>
          <w:rFonts w:ascii="Times New Roman" w:eastAsia="Times New Roman" w:hAnsi="Times New Roman" w:cs="Times New Roman"/>
          <w:sz w:val="20"/>
          <w:szCs w:val="20"/>
          <w:lang w:val="en-US"/>
        </w:rPr>
        <w:t xml:space="preserve"> (0.79) and </w:t>
      </w:r>
      <w:proofErr w:type="spellStart"/>
      <w:r w:rsidRPr="002733DF">
        <w:rPr>
          <w:rFonts w:ascii="Times New Roman" w:eastAsia="Times New Roman" w:hAnsi="Times New Roman" w:cs="Times New Roman"/>
          <w:i/>
          <w:sz w:val="20"/>
          <w:szCs w:val="20"/>
          <w:lang w:val="en-US"/>
        </w:rPr>
        <w:t>UpperTax</w:t>
      </w:r>
      <w:proofErr w:type="spellEnd"/>
      <w:r w:rsidRPr="002733DF">
        <w:rPr>
          <w:rFonts w:ascii="Times New Roman" w:eastAsia="Times New Roman" w:hAnsi="Times New Roman" w:cs="Times New Roman"/>
          <w:sz w:val="20"/>
          <w:szCs w:val="20"/>
          <w:lang w:val="en-US"/>
        </w:rPr>
        <w:t xml:space="preserve"> (0.95) are positive and significant (</w:t>
      </w:r>
      <w:r w:rsidR="005F4351" w:rsidRPr="002733DF">
        <w:rPr>
          <w:rFonts w:ascii="Times New Roman" w:eastAsia="Times New Roman" w:hAnsi="Times New Roman" w:cs="Times New Roman"/>
          <w:sz w:val="20"/>
          <w:szCs w:val="20"/>
          <w:lang w:val="en-US"/>
        </w:rPr>
        <w:t>p-value&lt;0.01)</w:t>
      </w:r>
      <w:r w:rsidRPr="002733DF">
        <w:rPr>
          <w:rFonts w:ascii="Times New Roman" w:eastAsia="Times New Roman" w:hAnsi="Times New Roman" w:cs="Times New Roman"/>
          <w:sz w:val="20"/>
          <w:szCs w:val="20"/>
          <w:lang w:val="en-US"/>
        </w:rPr>
        <w:t xml:space="preserve">. </w:t>
      </w:r>
      <w:r w:rsidR="007E42CC" w:rsidRPr="002733DF">
        <w:rPr>
          <w:rFonts w:ascii="Times New Roman" w:eastAsia="Times New Roman" w:hAnsi="Times New Roman" w:cs="Times New Roman"/>
          <w:sz w:val="20"/>
          <w:szCs w:val="20"/>
          <w:lang w:val="en-US"/>
        </w:rPr>
        <w:t xml:space="preserve">The coefficients for </w:t>
      </w:r>
      <w:proofErr w:type="spellStart"/>
      <w:r w:rsidR="007E42CC" w:rsidRPr="002733DF">
        <w:rPr>
          <w:rFonts w:ascii="Times New Roman" w:eastAsia="Times New Roman" w:hAnsi="Times New Roman" w:cs="Times New Roman"/>
          <w:i/>
          <w:sz w:val="20"/>
          <w:szCs w:val="20"/>
          <w:lang w:val="en-US"/>
        </w:rPr>
        <w:t>PaperFile</w:t>
      </w:r>
      <w:proofErr w:type="spellEnd"/>
      <w:r w:rsidR="007E42CC" w:rsidRPr="002733DF">
        <w:rPr>
          <w:rFonts w:ascii="Times New Roman" w:eastAsia="Times New Roman" w:hAnsi="Times New Roman" w:cs="Times New Roman"/>
          <w:sz w:val="20"/>
          <w:szCs w:val="20"/>
          <w:lang w:val="en-US"/>
        </w:rPr>
        <w:t xml:space="preserve"> and </w:t>
      </w:r>
      <w:proofErr w:type="spellStart"/>
      <w:r w:rsidR="007E42CC" w:rsidRPr="002733DF">
        <w:rPr>
          <w:rFonts w:ascii="Times New Roman" w:eastAsia="Times New Roman" w:hAnsi="Times New Roman" w:cs="Times New Roman"/>
          <w:i/>
          <w:sz w:val="20"/>
          <w:szCs w:val="20"/>
          <w:lang w:val="en-US"/>
        </w:rPr>
        <w:t>SoftwareFile</w:t>
      </w:r>
      <w:proofErr w:type="spellEnd"/>
      <w:r w:rsidR="007E42CC" w:rsidRPr="002733DF">
        <w:rPr>
          <w:rFonts w:ascii="Times New Roman" w:eastAsia="Times New Roman" w:hAnsi="Times New Roman" w:cs="Times New Roman"/>
          <w:sz w:val="20"/>
          <w:szCs w:val="20"/>
          <w:lang w:val="en-US"/>
        </w:rPr>
        <w:t xml:space="preserve"> are both positive and significant and the coefficient for other demographic variables are not significant. </w:t>
      </w:r>
      <w:r w:rsidRPr="002733DF">
        <w:rPr>
          <w:rFonts w:ascii="Times New Roman" w:eastAsia="Times New Roman" w:hAnsi="Times New Roman" w:cs="Times New Roman"/>
          <w:sz w:val="20"/>
          <w:szCs w:val="20"/>
          <w:lang w:val="en-US"/>
        </w:rPr>
        <w:t xml:space="preserve">Therefore, the results in Model </w:t>
      </w:r>
      <w:r w:rsidR="007E42CC" w:rsidRPr="002733DF">
        <w:rPr>
          <w:rFonts w:ascii="Times New Roman" w:eastAsia="Times New Roman" w:hAnsi="Times New Roman" w:cs="Times New Roman"/>
          <w:sz w:val="20"/>
          <w:szCs w:val="20"/>
          <w:lang w:val="en-US"/>
        </w:rPr>
        <w:t>3</w:t>
      </w:r>
      <w:r w:rsidRPr="002733DF">
        <w:rPr>
          <w:rFonts w:ascii="Times New Roman" w:eastAsia="Times New Roman" w:hAnsi="Times New Roman" w:cs="Times New Roman"/>
          <w:sz w:val="20"/>
          <w:szCs w:val="20"/>
          <w:lang w:val="en-US"/>
        </w:rPr>
        <w:t xml:space="preserve"> </w:t>
      </w:r>
      <w:proofErr w:type="gramStart"/>
      <w:r w:rsidRPr="002733DF">
        <w:rPr>
          <w:rFonts w:ascii="Times New Roman" w:eastAsia="Times New Roman" w:hAnsi="Times New Roman" w:cs="Times New Roman"/>
          <w:sz w:val="20"/>
          <w:szCs w:val="20"/>
          <w:lang w:val="en-US"/>
        </w:rPr>
        <w:t>shows</w:t>
      </w:r>
      <w:proofErr w:type="gramEnd"/>
      <w:r w:rsidRPr="002733DF">
        <w:rPr>
          <w:rFonts w:ascii="Times New Roman" w:eastAsia="Times New Roman" w:hAnsi="Times New Roman" w:cs="Times New Roman"/>
          <w:sz w:val="20"/>
          <w:szCs w:val="20"/>
          <w:lang w:val="en-US"/>
        </w:rPr>
        <w:t xml:space="preserve"> that</w:t>
      </w:r>
      <w:r w:rsidR="007E42CC" w:rsidRPr="002733DF">
        <w:rPr>
          <w:rFonts w:ascii="Times New Roman" w:eastAsia="Times New Roman" w:hAnsi="Times New Roman" w:cs="Times New Roman"/>
          <w:sz w:val="20"/>
          <w:szCs w:val="20"/>
          <w:lang w:val="en-US"/>
        </w:rPr>
        <w:t xml:space="preserve"> tax education (introductory or upper level) helps respondents in building their tax confidence in addition to their tax return filing experiences</w:t>
      </w:r>
      <w:r w:rsidRPr="002733DF">
        <w:rPr>
          <w:rFonts w:ascii="Times New Roman" w:eastAsia="Times New Roman" w:hAnsi="Times New Roman" w:cs="Times New Roman"/>
          <w:sz w:val="20"/>
          <w:szCs w:val="20"/>
          <w:lang w:val="en-US"/>
        </w:rPr>
        <w:t>.</w:t>
      </w:r>
      <w:r w:rsidR="002733DF">
        <w:rPr>
          <w:rFonts w:ascii="Times New Roman" w:eastAsia="Times New Roman" w:hAnsi="Times New Roman" w:cs="Times New Roman"/>
          <w:sz w:val="20"/>
          <w:szCs w:val="20"/>
          <w:lang w:val="en-US"/>
        </w:rPr>
        <w:t xml:space="preserve">  </w:t>
      </w:r>
    </w:p>
    <w:p w14:paraId="56AC458E" w14:textId="77777777" w:rsidR="002733DF" w:rsidRPr="002733DF" w:rsidRDefault="002733DF" w:rsidP="00C45D4F">
      <w:pPr>
        <w:rPr>
          <w:rFonts w:ascii="Times New Roman" w:eastAsia="Times New Roman" w:hAnsi="Times New Roman" w:cs="Times New Roman"/>
          <w:sz w:val="20"/>
          <w:szCs w:val="20"/>
          <w:lang w:val="en-US"/>
        </w:rPr>
      </w:pPr>
    </w:p>
    <w:p w14:paraId="68718BCD" w14:textId="08248312" w:rsidR="00814576" w:rsidRDefault="005964D8" w:rsidP="00C45D4F">
      <w:pPr>
        <w:rPr>
          <w:rFonts w:ascii="Times New Roman" w:eastAsia="Times New Roman" w:hAnsi="Times New Roman" w:cs="Times New Roman"/>
          <w:sz w:val="20"/>
          <w:szCs w:val="20"/>
          <w:lang w:val="en-US"/>
        </w:rPr>
      </w:pPr>
      <w:r w:rsidRPr="002733DF">
        <w:rPr>
          <w:rFonts w:ascii="Times New Roman" w:eastAsia="Times New Roman" w:hAnsi="Times New Roman" w:cs="Times New Roman"/>
          <w:sz w:val="20"/>
          <w:szCs w:val="20"/>
          <w:lang w:val="en-US"/>
        </w:rPr>
        <w:t xml:space="preserve">In Model 4, we include the demographic variables and all education variables in the regression. The coefficients for both </w:t>
      </w:r>
      <w:proofErr w:type="spellStart"/>
      <w:r w:rsidRPr="002733DF">
        <w:rPr>
          <w:rFonts w:ascii="Times New Roman" w:eastAsia="Times New Roman" w:hAnsi="Times New Roman" w:cs="Times New Roman"/>
          <w:i/>
          <w:sz w:val="20"/>
          <w:szCs w:val="20"/>
          <w:lang w:val="en-US"/>
        </w:rPr>
        <w:t>IntroTax</w:t>
      </w:r>
      <w:proofErr w:type="spellEnd"/>
      <w:r w:rsidRPr="002733DF">
        <w:rPr>
          <w:rFonts w:ascii="Times New Roman" w:eastAsia="Times New Roman" w:hAnsi="Times New Roman" w:cs="Times New Roman"/>
          <w:sz w:val="20"/>
          <w:szCs w:val="20"/>
          <w:lang w:val="en-US"/>
        </w:rPr>
        <w:t xml:space="preserve"> (0.74) and </w:t>
      </w:r>
      <w:proofErr w:type="spellStart"/>
      <w:r w:rsidRPr="002733DF">
        <w:rPr>
          <w:rFonts w:ascii="Times New Roman" w:eastAsia="Times New Roman" w:hAnsi="Times New Roman" w:cs="Times New Roman"/>
          <w:i/>
          <w:sz w:val="20"/>
          <w:szCs w:val="20"/>
          <w:lang w:val="en-US"/>
        </w:rPr>
        <w:t>UpperTax</w:t>
      </w:r>
      <w:proofErr w:type="spellEnd"/>
      <w:r w:rsidRPr="002733DF">
        <w:rPr>
          <w:rFonts w:ascii="Times New Roman" w:eastAsia="Times New Roman" w:hAnsi="Times New Roman" w:cs="Times New Roman"/>
          <w:sz w:val="20"/>
          <w:szCs w:val="20"/>
          <w:lang w:val="en-US"/>
        </w:rPr>
        <w:t xml:space="preserve"> (0.89) are positive and significant (p-value&lt;0.01), but the coefficients for </w:t>
      </w:r>
      <w:proofErr w:type="spellStart"/>
      <w:r w:rsidRPr="002733DF">
        <w:rPr>
          <w:rFonts w:ascii="Times New Roman" w:eastAsia="Times New Roman" w:hAnsi="Times New Roman" w:cs="Times New Roman"/>
          <w:i/>
          <w:sz w:val="20"/>
          <w:szCs w:val="20"/>
          <w:lang w:val="en-US"/>
        </w:rPr>
        <w:t>IntroAcctg</w:t>
      </w:r>
      <w:proofErr w:type="spellEnd"/>
      <w:r w:rsidRPr="002733DF">
        <w:rPr>
          <w:rFonts w:ascii="Times New Roman" w:eastAsia="Times New Roman" w:hAnsi="Times New Roman" w:cs="Times New Roman"/>
          <w:sz w:val="20"/>
          <w:szCs w:val="20"/>
          <w:lang w:val="en-US"/>
        </w:rPr>
        <w:t xml:space="preserve"> and </w:t>
      </w:r>
      <w:proofErr w:type="spellStart"/>
      <w:r w:rsidRPr="002733DF">
        <w:rPr>
          <w:rFonts w:ascii="Times New Roman" w:eastAsia="Times New Roman" w:hAnsi="Times New Roman" w:cs="Times New Roman"/>
          <w:i/>
          <w:sz w:val="20"/>
          <w:szCs w:val="20"/>
          <w:lang w:val="en-US"/>
        </w:rPr>
        <w:t>UpperAcctg</w:t>
      </w:r>
      <w:proofErr w:type="spellEnd"/>
      <w:r w:rsidRPr="002733DF">
        <w:rPr>
          <w:rFonts w:ascii="Times New Roman" w:eastAsia="Times New Roman" w:hAnsi="Times New Roman" w:cs="Times New Roman"/>
          <w:sz w:val="20"/>
          <w:szCs w:val="20"/>
          <w:lang w:val="en-US"/>
        </w:rPr>
        <w:t xml:space="preserve"> are not significant. Therefore, tax courses but not accounting </w:t>
      </w:r>
      <w:proofErr w:type="gramStart"/>
      <w:r w:rsidRPr="002733DF">
        <w:rPr>
          <w:rFonts w:ascii="Times New Roman" w:eastAsia="Times New Roman" w:hAnsi="Times New Roman" w:cs="Times New Roman"/>
          <w:sz w:val="20"/>
          <w:szCs w:val="20"/>
          <w:lang w:val="en-US"/>
        </w:rPr>
        <w:t>course</w:t>
      </w:r>
      <w:proofErr w:type="gramEnd"/>
      <w:r w:rsidRPr="002733DF">
        <w:rPr>
          <w:rFonts w:ascii="Times New Roman" w:eastAsia="Times New Roman" w:hAnsi="Times New Roman" w:cs="Times New Roman"/>
          <w:sz w:val="20"/>
          <w:szCs w:val="20"/>
          <w:lang w:val="en-US"/>
        </w:rPr>
        <w:t xml:space="preserve"> are helpful in building respondents’ tax confidence. The coefficients for </w:t>
      </w:r>
      <w:proofErr w:type="spellStart"/>
      <w:r w:rsidRPr="002733DF">
        <w:rPr>
          <w:rFonts w:ascii="Times New Roman" w:eastAsia="Times New Roman" w:hAnsi="Times New Roman" w:cs="Times New Roman"/>
          <w:i/>
          <w:sz w:val="20"/>
          <w:szCs w:val="20"/>
          <w:lang w:val="en-US"/>
        </w:rPr>
        <w:t>PaperFile</w:t>
      </w:r>
      <w:proofErr w:type="spellEnd"/>
      <w:r w:rsidRPr="002733DF">
        <w:rPr>
          <w:rFonts w:ascii="Times New Roman" w:eastAsia="Times New Roman" w:hAnsi="Times New Roman" w:cs="Times New Roman"/>
          <w:sz w:val="20"/>
          <w:szCs w:val="20"/>
          <w:lang w:val="en-US"/>
        </w:rPr>
        <w:t xml:space="preserve"> and </w:t>
      </w:r>
      <w:proofErr w:type="spellStart"/>
      <w:r w:rsidRPr="002733DF">
        <w:rPr>
          <w:rFonts w:ascii="Times New Roman" w:eastAsia="Times New Roman" w:hAnsi="Times New Roman" w:cs="Times New Roman"/>
          <w:i/>
          <w:sz w:val="20"/>
          <w:szCs w:val="20"/>
          <w:lang w:val="en-US"/>
        </w:rPr>
        <w:t>SoftwareFile</w:t>
      </w:r>
      <w:proofErr w:type="spellEnd"/>
      <w:r w:rsidRPr="002733DF">
        <w:rPr>
          <w:rFonts w:ascii="Times New Roman" w:eastAsia="Times New Roman" w:hAnsi="Times New Roman" w:cs="Times New Roman"/>
          <w:sz w:val="20"/>
          <w:szCs w:val="20"/>
          <w:lang w:val="en-US"/>
        </w:rPr>
        <w:t xml:space="preserve"> </w:t>
      </w:r>
      <w:r w:rsidR="00814576" w:rsidRPr="002733DF">
        <w:rPr>
          <w:rFonts w:ascii="Times New Roman" w:eastAsia="Times New Roman" w:hAnsi="Times New Roman" w:cs="Times New Roman"/>
          <w:sz w:val="20"/>
          <w:szCs w:val="20"/>
          <w:lang w:val="en-US"/>
        </w:rPr>
        <w:t>continue to be</w:t>
      </w:r>
      <w:r w:rsidRPr="002733DF">
        <w:rPr>
          <w:rFonts w:ascii="Times New Roman" w:eastAsia="Times New Roman" w:hAnsi="Times New Roman" w:cs="Times New Roman"/>
          <w:sz w:val="20"/>
          <w:szCs w:val="20"/>
          <w:lang w:val="en-US"/>
        </w:rPr>
        <w:t xml:space="preserve"> positive and significant and the coefficient for other demographic variables are not significant. </w:t>
      </w:r>
      <w:r w:rsidR="002733DF">
        <w:rPr>
          <w:rFonts w:ascii="Times New Roman" w:eastAsia="Times New Roman" w:hAnsi="Times New Roman" w:cs="Times New Roman"/>
          <w:sz w:val="20"/>
          <w:szCs w:val="20"/>
          <w:lang w:val="en-US"/>
        </w:rPr>
        <w:t xml:space="preserve"> </w:t>
      </w:r>
    </w:p>
    <w:p w14:paraId="4AF047C8" w14:textId="77777777" w:rsidR="002733DF" w:rsidRPr="002733DF" w:rsidRDefault="002733DF" w:rsidP="00C45D4F">
      <w:pPr>
        <w:rPr>
          <w:rFonts w:ascii="Times New Roman" w:eastAsia="Times New Roman" w:hAnsi="Times New Roman" w:cs="Times New Roman"/>
          <w:sz w:val="20"/>
          <w:szCs w:val="20"/>
          <w:lang w:val="en-US"/>
        </w:rPr>
      </w:pPr>
    </w:p>
    <w:p w14:paraId="0E4F52BD" w14:textId="12529F22" w:rsidR="009E1DA9" w:rsidRDefault="00814576" w:rsidP="00C45D4F">
      <w:pPr>
        <w:rPr>
          <w:rFonts w:ascii="Times New Roman" w:hAnsi="Times New Roman" w:cs="Times New Roman"/>
          <w:sz w:val="20"/>
          <w:szCs w:val="20"/>
          <w:lang w:val="en-US"/>
        </w:rPr>
      </w:pPr>
      <w:r w:rsidRPr="002733DF">
        <w:rPr>
          <w:rFonts w:ascii="Times New Roman" w:eastAsia="Times New Roman" w:hAnsi="Times New Roman" w:cs="Times New Roman"/>
          <w:sz w:val="20"/>
          <w:szCs w:val="20"/>
          <w:lang w:val="en-US"/>
        </w:rPr>
        <w:t xml:space="preserve">In </w:t>
      </w:r>
      <w:r w:rsidR="005964D8" w:rsidRPr="002733DF">
        <w:rPr>
          <w:rFonts w:ascii="Times New Roman" w:eastAsia="Times New Roman" w:hAnsi="Times New Roman" w:cs="Times New Roman"/>
          <w:sz w:val="20"/>
          <w:szCs w:val="20"/>
          <w:lang w:val="en-US"/>
        </w:rPr>
        <w:t xml:space="preserve">Model 5, we include </w:t>
      </w:r>
      <w:proofErr w:type="spellStart"/>
      <w:r w:rsidR="005964D8" w:rsidRPr="002733DF">
        <w:rPr>
          <w:rFonts w:ascii="Times New Roman" w:eastAsia="Times New Roman" w:hAnsi="Times New Roman" w:cs="Times New Roman"/>
          <w:i/>
          <w:sz w:val="20"/>
          <w:szCs w:val="20"/>
          <w:lang w:val="en-US"/>
        </w:rPr>
        <w:t>TaxLit</w:t>
      </w:r>
      <w:proofErr w:type="spellEnd"/>
      <w:r w:rsidR="005964D8" w:rsidRPr="002733DF">
        <w:rPr>
          <w:rFonts w:ascii="Times New Roman" w:eastAsia="Times New Roman" w:hAnsi="Times New Roman" w:cs="Times New Roman"/>
          <w:sz w:val="20"/>
          <w:szCs w:val="20"/>
          <w:lang w:val="en-US"/>
        </w:rPr>
        <w:t xml:space="preserve">, </w:t>
      </w:r>
      <w:proofErr w:type="spellStart"/>
      <w:r w:rsidR="005964D8" w:rsidRPr="002733DF">
        <w:rPr>
          <w:rFonts w:ascii="Times New Roman" w:eastAsia="Times New Roman" w:hAnsi="Times New Roman" w:cs="Times New Roman"/>
          <w:i/>
          <w:sz w:val="20"/>
          <w:szCs w:val="20"/>
          <w:lang w:val="en-US"/>
        </w:rPr>
        <w:t>FinLit</w:t>
      </w:r>
      <w:proofErr w:type="spellEnd"/>
      <w:r w:rsidR="005964D8" w:rsidRPr="002733DF">
        <w:rPr>
          <w:rFonts w:ascii="Times New Roman" w:eastAsia="Times New Roman" w:hAnsi="Times New Roman" w:cs="Times New Roman"/>
          <w:sz w:val="20"/>
          <w:szCs w:val="20"/>
          <w:lang w:val="en-US"/>
        </w:rPr>
        <w:t xml:space="preserve">, </w:t>
      </w:r>
      <w:proofErr w:type="spellStart"/>
      <w:r w:rsidR="005964D8" w:rsidRPr="002733DF">
        <w:rPr>
          <w:rFonts w:ascii="Times New Roman" w:eastAsia="Times New Roman" w:hAnsi="Times New Roman" w:cs="Times New Roman"/>
          <w:i/>
          <w:sz w:val="20"/>
          <w:szCs w:val="20"/>
          <w:lang w:val="en-US"/>
        </w:rPr>
        <w:t>FinConf</w:t>
      </w:r>
      <w:proofErr w:type="spellEnd"/>
      <w:r w:rsidR="005964D8" w:rsidRPr="002733DF">
        <w:rPr>
          <w:rFonts w:ascii="Times New Roman" w:eastAsia="Times New Roman" w:hAnsi="Times New Roman" w:cs="Times New Roman"/>
          <w:sz w:val="20"/>
          <w:szCs w:val="20"/>
          <w:lang w:val="en-US"/>
        </w:rPr>
        <w:t xml:space="preserve">, the demographic variables and all the education variables in the regression. </w:t>
      </w:r>
      <w:proofErr w:type="spellStart"/>
      <w:r w:rsidR="005964D8" w:rsidRPr="002733DF">
        <w:rPr>
          <w:rFonts w:ascii="Times New Roman" w:eastAsia="Times New Roman" w:hAnsi="Times New Roman" w:cs="Times New Roman"/>
          <w:i/>
          <w:sz w:val="20"/>
          <w:szCs w:val="20"/>
          <w:lang w:val="en-US"/>
        </w:rPr>
        <w:t>TaxLit</w:t>
      </w:r>
      <w:proofErr w:type="spellEnd"/>
      <w:r w:rsidR="005964D8" w:rsidRPr="002733DF">
        <w:rPr>
          <w:rFonts w:ascii="Times New Roman" w:eastAsia="Times New Roman" w:hAnsi="Times New Roman" w:cs="Times New Roman"/>
          <w:sz w:val="20"/>
          <w:szCs w:val="20"/>
          <w:lang w:val="en-US"/>
        </w:rPr>
        <w:t xml:space="preserve"> is positive and significant (0.77, p-value&lt;0.05), </w:t>
      </w:r>
      <w:proofErr w:type="spellStart"/>
      <w:r w:rsidR="005964D8" w:rsidRPr="002733DF">
        <w:rPr>
          <w:rFonts w:ascii="Times New Roman" w:eastAsia="Times New Roman" w:hAnsi="Times New Roman" w:cs="Times New Roman"/>
          <w:i/>
          <w:sz w:val="20"/>
          <w:szCs w:val="20"/>
          <w:lang w:val="en-US"/>
        </w:rPr>
        <w:t>FinConf</w:t>
      </w:r>
      <w:proofErr w:type="spellEnd"/>
      <w:r w:rsidR="005964D8" w:rsidRPr="002733DF">
        <w:rPr>
          <w:rFonts w:ascii="Times New Roman" w:eastAsia="Times New Roman" w:hAnsi="Times New Roman" w:cs="Times New Roman"/>
          <w:sz w:val="20"/>
          <w:szCs w:val="20"/>
          <w:lang w:val="en-US"/>
        </w:rPr>
        <w:t xml:space="preserve"> is positive and significant (0.48, p-value&lt;0.10), and </w:t>
      </w:r>
      <w:proofErr w:type="spellStart"/>
      <w:r w:rsidR="005964D8" w:rsidRPr="002733DF">
        <w:rPr>
          <w:rFonts w:ascii="Times New Roman" w:eastAsia="Times New Roman" w:hAnsi="Times New Roman" w:cs="Times New Roman"/>
          <w:i/>
          <w:sz w:val="20"/>
          <w:szCs w:val="20"/>
          <w:lang w:val="en-US"/>
        </w:rPr>
        <w:t>FinLit</w:t>
      </w:r>
      <w:proofErr w:type="spellEnd"/>
      <w:r w:rsidR="005964D8" w:rsidRPr="002733DF">
        <w:rPr>
          <w:rFonts w:ascii="Times New Roman" w:eastAsia="Times New Roman" w:hAnsi="Times New Roman" w:cs="Times New Roman"/>
          <w:sz w:val="20"/>
          <w:szCs w:val="20"/>
          <w:lang w:val="en-US"/>
        </w:rPr>
        <w:t xml:space="preserve"> is negative and weakly significant (-0.42, p-value&lt;0.10). The coefficients for both </w:t>
      </w:r>
      <w:proofErr w:type="spellStart"/>
      <w:r w:rsidR="005964D8" w:rsidRPr="002733DF">
        <w:rPr>
          <w:rFonts w:ascii="Times New Roman" w:eastAsia="Times New Roman" w:hAnsi="Times New Roman" w:cs="Times New Roman"/>
          <w:i/>
          <w:sz w:val="20"/>
          <w:szCs w:val="20"/>
          <w:lang w:val="en-US"/>
        </w:rPr>
        <w:t>IntroTax</w:t>
      </w:r>
      <w:proofErr w:type="spellEnd"/>
      <w:r w:rsidR="005964D8" w:rsidRPr="002733DF">
        <w:rPr>
          <w:rFonts w:ascii="Times New Roman" w:eastAsia="Times New Roman" w:hAnsi="Times New Roman" w:cs="Times New Roman"/>
          <w:sz w:val="20"/>
          <w:szCs w:val="20"/>
          <w:lang w:val="en-US"/>
        </w:rPr>
        <w:t xml:space="preserve"> (0.</w:t>
      </w:r>
      <w:r w:rsidR="00241C94" w:rsidRPr="002733DF">
        <w:rPr>
          <w:rFonts w:ascii="Times New Roman" w:eastAsia="Times New Roman" w:hAnsi="Times New Roman" w:cs="Times New Roman"/>
          <w:sz w:val="20"/>
          <w:szCs w:val="20"/>
          <w:lang w:val="en-US"/>
        </w:rPr>
        <w:t>55</w:t>
      </w:r>
      <w:r w:rsidR="005964D8" w:rsidRPr="002733DF">
        <w:rPr>
          <w:rFonts w:ascii="Times New Roman" w:eastAsia="Times New Roman" w:hAnsi="Times New Roman" w:cs="Times New Roman"/>
          <w:sz w:val="20"/>
          <w:szCs w:val="20"/>
          <w:lang w:val="en-US"/>
        </w:rPr>
        <w:t xml:space="preserve">) and </w:t>
      </w:r>
      <w:proofErr w:type="spellStart"/>
      <w:r w:rsidR="005964D8" w:rsidRPr="002733DF">
        <w:rPr>
          <w:rFonts w:ascii="Times New Roman" w:eastAsia="Times New Roman" w:hAnsi="Times New Roman" w:cs="Times New Roman"/>
          <w:i/>
          <w:sz w:val="20"/>
          <w:szCs w:val="20"/>
          <w:lang w:val="en-US"/>
        </w:rPr>
        <w:t>UpperTax</w:t>
      </w:r>
      <w:proofErr w:type="spellEnd"/>
      <w:r w:rsidR="005964D8" w:rsidRPr="002733DF">
        <w:rPr>
          <w:rFonts w:ascii="Times New Roman" w:eastAsia="Times New Roman" w:hAnsi="Times New Roman" w:cs="Times New Roman"/>
          <w:sz w:val="20"/>
          <w:szCs w:val="20"/>
          <w:lang w:val="en-US"/>
        </w:rPr>
        <w:t xml:space="preserve"> (0</w:t>
      </w:r>
      <w:r w:rsidRPr="002733DF">
        <w:rPr>
          <w:rFonts w:ascii="Times New Roman" w:eastAsia="Times New Roman" w:hAnsi="Times New Roman" w:cs="Times New Roman"/>
          <w:sz w:val="20"/>
          <w:szCs w:val="20"/>
          <w:lang w:val="en-US"/>
        </w:rPr>
        <w:t>.</w:t>
      </w:r>
      <w:r w:rsidR="00241C94" w:rsidRPr="002733DF">
        <w:rPr>
          <w:rFonts w:ascii="Times New Roman" w:eastAsia="Times New Roman" w:hAnsi="Times New Roman" w:cs="Times New Roman"/>
          <w:sz w:val="20"/>
          <w:szCs w:val="20"/>
          <w:lang w:val="en-US"/>
        </w:rPr>
        <w:t>65</w:t>
      </w:r>
      <w:r w:rsidR="005964D8" w:rsidRPr="002733DF">
        <w:rPr>
          <w:rFonts w:ascii="Times New Roman" w:eastAsia="Times New Roman" w:hAnsi="Times New Roman" w:cs="Times New Roman"/>
          <w:sz w:val="20"/>
          <w:szCs w:val="20"/>
          <w:lang w:val="en-US"/>
        </w:rPr>
        <w:t xml:space="preserve">) </w:t>
      </w:r>
      <w:r w:rsidR="00241C94" w:rsidRPr="002733DF">
        <w:rPr>
          <w:rFonts w:ascii="Times New Roman" w:eastAsia="Times New Roman" w:hAnsi="Times New Roman" w:cs="Times New Roman"/>
          <w:sz w:val="20"/>
          <w:szCs w:val="20"/>
          <w:lang w:val="en-US"/>
        </w:rPr>
        <w:t>continue</w:t>
      </w:r>
      <w:r w:rsidR="005964D8" w:rsidRPr="002733DF">
        <w:rPr>
          <w:rFonts w:ascii="Times New Roman" w:eastAsia="Times New Roman" w:hAnsi="Times New Roman" w:cs="Times New Roman"/>
          <w:sz w:val="20"/>
          <w:szCs w:val="20"/>
          <w:lang w:val="en-US"/>
        </w:rPr>
        <w:t xml:space="preserve"> to be positive and </w:t>
      </w:r>
      <w:r w:rsidR="00F83B41" w:rsidRPr="002733DF">
        <w:rPr>
          <w:rFonts w:ascii="Times New Roman" w:eastAsia="Times New Roman" w:hAnsi="Times New Roman" w:cs="Times New Roman"/>
          <w:sz w:val="20"/>
          <w:szCs w:val="20"/>
          <w:lang w:val="en-US"/>
        </w:rPr>
        <w:t xml:space="preserve">strongly </w:t>
      </w:r>
      <w:r w:rsidR="005964D8" w:rsidRPr="002733DF">
        <w:rPr>
          <w:rFonts w:ascii="Times New Roman" w:eastAsia="Times New Roman" w:hAnsi="Times New Roman" w:cs="Times New Roman"/>
          <w:sz w:val="20"/>
          <w:szCs w:val="20"/>
          <w:lang w:val="en-US"/>
        </w:rPr>
        <w:t xml:space="preserve">significant (p-value&lt;0.01), but the coefficients for </w:t>
      </w:r>
      <w:proofErr w:type="spellStart"/>
      <w:r w:rsidR="005964D8" w:rsidRPr="002733DF">
        <w:rPr>
          <w:rFonts w:ascii="Times New Roman" w:eastAsia="Times New Roman" w:hAnsi="Times New Roman" w:cs="Times New Roman"/>
          <w:i/>
          <w:sz w:val="20"/>
          <w:szCs w:val="20"/>
          <w:lang w:val="en-US"/>
        </w:rPr>
        <w:t>IntroAcctg</w:t>
      </w:r>
      <w:proofErr w:type="spellEnd"/>
      <w:r w:rsidR="005964D8" w:rsidRPr="002733DF">
        <w:rPr>
          <w:rFonts w:ascii="Times New Roman" w:eastAsia="Times New Roman" w:hAnsi="Times New Roman" w:cs="Times New Roman"/>
          <w:sz w:val="20"/>
          <w:szCs w:val="20"/>
          <w:lang w:val="en-US"/>
        </w:rPr>
        <w:t xml:space="preserve"> and </w:t>
      </w:r>
      <w:proofErr w:type="spellStart"/>
      <w:r w:rsidR="005964D8" w:rsidRPr="002733DF">
        <w:rPr>
          <w:rFonts w:ascii="Times New Roman" w:eastAsia="Times New Roman" w:hAnsi="Times New Roman" w:cs="Times New Roman"/>
          <w:i/>
          <w:sz w:val="20"/>
          <w:szCs w:val="20"/>
          <w:lang w:val="en-US"/>
        </w:rPr>
        <w:t>UpperAcctg</w:t>
      </w:r>
      <w:proofErr w:type="spellEnd"/>
      <w:r w:rsidR="005964D8" w:rsidRPr="002733DF">
        <w:rPr>
          <w:rFonts w:ascii="Times New Roman" w:eastAsia="Times New Roman" w:hAnsi="Times New Roman" w:cs="Times New Roman"/>
          <w:sz w:val="20"/>
          <w:szCs w:val="20"/>
          <w:lang w:val="en-US"/>
        </w:rPr>
        <w:t xml:space="preserve"> </w:t>
      </w:r>
      <w:r w:rsidR="00241C94" w:rsidRPr="002733DF">
        <w:rPr>
          <w:rFonts w:ascii="Times New Roman" w:eastAsia="Times New Roman" w:hAnsi="Times New Roman" w:cs="Times New Roman"/>
          <w:sz w:val="20"/>
          <w:szCs w:val="20"/>
          <w:lang w:val="en-US"/>
        </w:rPr>
        <w:t>continue to be in</w:t>
      </w:r>
      <w:r w:rsidR="005964D8" w:rsidRPr="002733DF">
        <w:rPr>
          <w:rFonts w:ascii="Times New Roman" w:eastAsia="Times New Roman" w:hAnsi="Times New Roman" w:cs="Times New Roman"/>
          <w:sz w:val="20"/>
          <w:szCs w:val="20"/>
          <w:lang w:val="en-US"/>
        </w:rPr>
        <w:t>significant.</w:t>
      </w:r>
      <w:r w:rsidR="00F83B41" w:rsidRPr="002733DF">
        <w:rPr>
          <w:rFonts w:ascii="Times New Roman" w:eastAsia="Times New Roman" w:hAnsi="Times New Roman" w:cs="Times New Roman"/>
          <w:sz w:val="20"/>
          <w:szCs w:val="20"/>
          <w:lang w:val="en-US"/>
        </w:rPr>
        <w:t xml:space="preserve"> The coefficients for </w:t>
      </w:r>
      <w:proofErr w:type="spellStart"/>
      <w:r w:rsidR="00F83B41" w:rsidRPr="002733DF">
        <w:rPr>
          <w:rFonts w:ascii="Times New Roman" w:eastAsia="Times New Roman" w:hAnsi="Times New Roman" w:cs="Times New Roman"/>
          <w:i/>
          <w:sz w:val="20"/>
          <w:szCs w:val="20"/>
          <w:lang w:val="en-US"/>
        </w:rPr>
        <w:t>PaperFile</w:t>
      </w:r>
      <w:proofErr w:type="spellEnd"/>
      <w:r w:rsidR="00F83B41" w:rsidRPr="002733DF">
        <w:rPr>
          <w:rFonts w:ascii="Times New Roman" w:eastAsia="Times New Roman" w:hAnsi="Times New Roman" w:cs="Times New Roman"/>
          <w:sz w:val="20"/>
          <w:szCs w:val="20"/>
          <w:lang w:val="en-US"/>
        </w:rPr>
        <w:t xml:space="preserve"> and </w:t>
      </w:r>
      <w:proofErr w:type="spellStart"/>
      <w:r w:rsidR="00F83B41" w:rsidRPr="002733DF">
        <w:rPr>
          <w:rFonts w:ascii="Times New Roman" w:eastAsia="Times New Roman" w:hAnsi="Times New Roman" w:cs="Times New Roman"/>
          <w:i/>
          <w:sz w:val="20"/>
          <w:szCs w:val="20"/>
          <w:lang w:val="en-US"/>
        </w:rPr>
        <w:t>SoftwareFile</w:t>
      </w:r>
      <w:proofErr w:type="spellEnd"/>
      <w:r w:rsidR="00F83B41" w:rsidRPr="002733DF">
        <w:rPr>
          <w:rFonts w:ascii="Times New Roman" w:eastAsia="Times New Roman" w:hAnsi="Times New Roman" w:cs="Times New Roman"/>
          <w:sz w:val="20"/>
          <w:szCs w:val="20"/>
          <w:lang w:val="en-US"/>
        </w:rPr>
        <w:t xml:space="preserve"> also continue to be positive and significant. </w:t>
      </w:r>
      <w:r w:rsidR="00C43FF7" w:rsidRPr="002733DF">
        <w:rPr>
          <w:rFonts w:ascii="Times New Roman" w:hAnsi="Times New Roman" w:cs="Times New Roman"/>
          <w:bCs/>
          <w:sz w:val="20"/>
          <w:szCs w:val="20"/>
          <w:lang w:val="en-US"/>
        </w:rPr>
        <w:t xml:space="preserve">The overall results in Table 7 indicate that in addition to other factors, </w:t>
      </w:r>
      <w:r w:rsidRPr="002733DF">
        <w:rPr>
          <w:rFonts w:ascii="Times New Roman" w:hAnsi="Times New Roman" w:cs="Times New Roman"/>
          <w:bCs/>
          <w:sz w:val="20"/>
          <w:szCs w:val="20"/>
          <w:lang w:val="en-US"/>
        </w:rPr>
        <w:t xml:space="preserve">tax </w:t>
      </w:r>
      <w:r w:rsidR="00C43FF7" w:rsidRPr="002733DF">
        <w:rPr>
          <w:rFonts w:ascii="Times New Roman" w:hAnsi="Times New Roman" w:cs="Times New Roman"/>
          <w:bCs/>
          <w:sz w:val="20"/>
          <w:szCs w:val="20"/>
          <w:lang w:val="en-US"/>
        </w:rPr>
        <w:t xml:space="preserve">education plays an important role in effectively promoting college students’ tax confidence. </w:t>
      </w:r>
      <w:r w:rsidRPr="002733DF">
        <w:rPr>
          <w:rFonts w:ascii="Times New Roman" w:hAnsi="Times New Roman" w:cs="Times New Roman"/>
          <w:bCs/>
          <w:sz w:val="20"/>
          <w:szCs w:val="20"/>
          <w:lang w:val="en-US"/>
        </w:rPr>
        <w:t>Merely taking non-tax accounting courses does not help with building participants’ tax confidence</w:t>
      </w:r>
      <w:r w:rsidR="00C43FF7" w:rsidRPr="002733DF">
        <w:rPr>
          <w:rFonts w:ascii="Times New Roman" w:hAnsi="Times New Roman" w:cs="Times New Roman"/>
          <w:bCs/>
          <w:sz w:val="20"/>
          <w:szCs w:val="20"/>
          <w:lang w:val="en-US"/>
        </w:rPr>
        <w:t xml:space="preserve">. </w:t>
      </w:r>
      <w:r w:rsidRPr="002733DF">
        <w:rPr>
          <w:rFonts w:ascii="Times New Roman" w:hAnsi="Times New Roman" w:cs="Times New Roman"/>
          <w:bCs/>
          <w:sz w:val="20"/>
          <w:szCs w:val="20"/>
          <w:lang w:val="en-US"/>
        </w:rPr>
        <w:t>Participants’</w:t>
      </w:r>
      <w:r w:rsidR="00C43FF7" w:rsidRPr="002733DF">
        <w:rPr>
          <w:rFonts w:ascii="Times New Roman" w:hAnsi="Times New Roman" w:cs="Times New Roman"/>
          <w:bCs/>
          <w:sz w:val="20"/>
          <w:szCs w:val="20"/>
          <w:lang w:val="en-US"/>
        </w:rPr>
        <w:t xml:space="preserve"> financial literacy</w:t>
      </w:r>
      <w:r w:rsidRPr="002733DF">
        <w:rPr>
          <w:rFonts w:ascii="Times New Roman" w:hAnsi="Times New Roman" w:cs="Times New Roman"/>
          <w:bCs/>
          <w:sz w:val="20"/>
          <w:szCs w:val="20"/>
          <w:lang w:val="en-US"/>
        </w:rPr>
        <w:t xml:space="preserve">, while may be positively correlated with their tax literacy, </w:t>
      </w:r>
      <w:r w:rsidR="00C43FF7" w:rsidRPr="002733DF">
        <w:rPr>
          <w:rFonts w:ascii="Times New Roman" w:hAnsi="Times New Roman" w:cs="Times New Roman"/>
          <w:bCs/>
          <w:sz w:val="20"/>
          <w:szCs w:val="20"/>
          <w:lang w:val="en-US"/>
        </w:rPr>
        <w:t xml:space="preserve">is not helpful in building their tax confidence. </w:t>
      </w:r>
      <w:r w:rsidR="00C43FF7" w:rsidRPr="002733DF">
        <w:rPr>
          <w:rFonts w:ascii="Times New Roman" w:hAnsi="Times New Roman" w:cs="Times New Roman"/>
          <w:sz w:val="20"/>
          <w:szCs w:val="20"/>
          <w:lang w:val="en-US"/>
        </w:rPr>
        <w:t xml:space="preserve">More importantly, </w:t>
      </w:r>
      <w:r w:rsidR="00C43FF7" w:rsidRPr="002733DF">
        <w:rPr>
          <w:rFonts w:ascii="Times New Roman" w:hAnsi="Times New Roman" w:cs="Times New Roman"/>
          <w:bCs/>
          <w:sz w:val="20"/>
          <w:szCs w:val="20"/>
          <w:lang w:val="en-US"/>
        </w:rPr>
        <w:t xml:space="preserve">the combined findings in Table 7 reveal that </w:t>
      </w:r>
      <w:r w:rsidRPr="002733DF">
        <w:rPr>
          <w:rFonts w:ascii="Times New Roman" w:hAnsi="Times New Roman" w:cs="Times New Roman"/>
          <w:sz w:val="20"/>
          <w:szCs w:val="20"/>
          <w:lang w:val="en-US"/>
        </w:rPr>
        <w:t>participants’</w:t>
      </w:r>
      <w:r w:rsidR="00C43FF7" w:rsidRPr="002733DF">
        <w:rPr>
          <w:rFonts w:ascii="Times New Roman" w:hAnsi="Times New Roman" w:cs="Times New Roman"/>
          <w:sz w:val="20"/>
          <w:szCs w:val="20"/>
          <w:lang w:val="en-US"/>
        </w:rPr>
        <w:t xml:space="preserve"> real-life tax filing experience</w:t>
      </w:r>
      <w:r w:rsidRPr="002733DF">
        <w:rPr>
          <w:rFonts w:ascii="Times New Roman" w:hAnsi="Times New Roman" w:cs="Times New Roman"/>
          <w:sz w:val="20"/>
          <w:szCs w:val="20"/>
          <w:lang w:val="en-US"/>
        </w:rPr>
        <w:t>s</w:t>
      </w:r>
      <w:r w:rsidR="00C43FF7" w:rsidRPr="002733DF">
        <w:rPr>
          <w:rFonts w:ascii="Times New Roman" w:hAnsi="Times New Roman" w:cs="Times New Roman"/>
          <w:sz w:val="20"/>
          <w:szCs w:val="20"/>
          <w:lang w:val="en-US"/>
        </w:rPr>
        <w:t xml:space="preserve"> are strongly correlated with their level of tax confidence regardless of whether they have taken a tax course.</w:t>
      </w:r>
      <w:r w:rsidR="00C43FF7" w:rsidRPr="002733DF">
        <w:rPr>
          <w:rFonts w:ascii="Times New Roman" w:hAnsi="Times New Roman" w:cs="Times New Roman"/>
          <w:bCs/>
          <w:sz w:val="20"/>
          <w:szCs w:val="20"/>
          <w:lang w:val="en-US"/>
        </w:rPr>
        <w:t xml:space="preserve"> Therefore, students’ tax education, return filing experience, and financial confidence in their financial skills are helpful for their confidence in handling their own tax returns.</w:t>
      </w:r>
      <w:r w:rsidR="009E1DA9" w:rsidRPr="002733DF">
        <w:rPr>
          <w:rFonts w:ascii="Times New Roman" w:hAnsi="Times New Roman" w:cs="Times New Roman"/>
          <w:bCs/>
          <w:sz w:val="20"/>
          <w:szCs w:val="20"/>
          <w:lang w:val="en-US"/>
        </w:rPr>
        <w:t xml:space="preserve"> </w:t>
      </w:r>
      <w:r w:rsidR="002733DF">
        <w:rPr>
          <w:rFonts w:ascii="Times New Roman" w:hAnsi="Times New Roman" w:cs="Times New Roman"/>
          <w:sz w:val="20"/>
          <w:szCs w:val="20"/>
          <w:lang w:val="en-US"/>
        </w:rPr>
        <w:t xml:space="preserve"> </w:t>
      </w:r>
    </w:p>
    <w:p w14:paraId="39107B37" w14:textId="77777777" w:rsidR="00CD14C9" w:rsidRPr="002733DF" w:rsidRDefault="00CD14C9" w:rsidP="00C45D4F">
      <w:pPr>
        <w:rPr>
          <w:rFonts w:ascii="Times New Roman" w:hAnsi="Times New Roman" w:cs="Times New Roman"/>
          <w:sz w:val="20"/>
          <w:szCs w:val="20"/>
          <w:lang w:val="en-US"/>
        </w:rPr>
      </w:pPr>
    </w:p>
    <w:p w14:paraId="03B13E32" w14:textId="419C1995" w:rsidR="00550D7F" w:rsidRPr="002733DF" w:rsidRDefault="00550D7F" w:rsidP="00C45D4F">
      <w:pPr>
        <w:rPr>
          <w:rFonts w:ascii="Times New Roman" w:hAnsi="Times New Roman" w:cs="Times New Roman"/>
          <w:b/>
          <w:iCs/>
          <w:sz w:val="20"/>
          <w:szCs w:val="20"/>
          <w:lang w:val="en-US"/>
        </w:rPr>
      </w:pPr>
      <w:r w:rsidRPr="002733DF">
        <w:rPr>
          <w:rFonts w:ascii="Times New Roman" w:hAnsi="Times New Roman" w:cs="Times New Roman"/>
          <w:b/>
          <w:iCs/>
          <w:sz w:val="20"/>
          <w:szCs w:val="20"/>
          <w:lang w:val="en-US"/>
        </w:rPr>
        <w:t>Additional Tests</w:t>
      </w:r>
      <w:r w:rsidR="00535FBB" w:rsidRPr="002733DF">
        <w:rPr>
          <w:rFonts w:ascii="Times New Roman" w:hAnsi="Times New Roman" w:cs="Times New Roman"/>
          <w:b/>
          <w:iCs/>
          <w:sz w:val="20"/>
          <w:szCs w:val="20"/>
          <w:lang w:val="en-US"/>
        </w:rPr>
        <w:t xml:space="preserve"> and Robustness Check</w:t>
      </w:r>
    </w:p>
    <w:p w14:paraId="238BCF8D" w14:textId="77777777" w:rsidR="002733DF" w:rsidRPr="002733DF" w:rsidRDefault="002733DF" w:rsidP="00C45D4F">
      <w:pPr>
        <w:rPr>
          <w:rFonts w:ascii="Times New Roman" w:hAnsi="Times New Roman" w:cs="Times New Roman"/>
          <w:b/>
          <w:i/>
          <w:sz w:val="20"/>
          <w:szCs w:val="20"/>
          <w:lang w:val="en-US"/>
        </w:rPr>
      </w:pPr>
    </w:p>
    <w:p w14:paraId="6EB060C9" w14:textId="5C356F00" w:rsidR="00034AA0" w:rsidRDefault="005A1279" w:rsidP="00C45D4F">
      <w:pPr>
        <w:rPr>
          <w:rFonts w:ascii="Times New Roman" w:hAnsi="Times New Roman" w:cs="Times New Roman"/>
          <w:sz w:val="20"/>
          <w:szCs w:val="20"/>
          <w:lang w:val="en-US"/>
        </w:rPr>
      </w:pPr>
      <w:r w:rsidRPr="002733DF">
        <w:rPr>
          <w:rFonts w:ascii="Times New Roman" w:hAnsi="Times New Roman" w:cs="Times New Roman"/>
          <w:bCs/>
          <w:sz w:val="20"/>
          <w:szCs w:val="20"/>
          <w:lang w:val="en-US"/>
        </w:rPr>
        <w:t xml:space="preserve">In </w:t>
      </w:r>
      <w:proofErr w:type="gramStart"/>
      <w:r w:rsidRPr="002733DF">
        <w:rPr>
          <w:rFonts w:ascii="Times New Roman" w:hAnsi="Times New Roman" w:cs="Times New Roman"/>
          <w:bCs/>
          <w:sz w:val="20"/>
          <w:szCs w:val="20"/>
          <w:lang w:val="en-US"/>
        </w:rPr>
        <w:t>additional</w:t>
      </w:r>
      <w:proofErr w:type="gramEnd"/>
      <w:r w:rsidRPr="002733DF">
        <w:rPr>
          <w:rFonts w:ascii="Times New Roman" w:hAnsi="Times New Roman" w:cs="Times New Roman"/>
          <w:bCs/>
          <w:sz w:val="20"/>
          <w:szCs w:val="20"/>
          <w:lang w:val="en-US"/>
        </w:rPr>
        <w:t xml:space="preserve"> test, we investigate non-tax accounting courses on participants’ tax literacy and tax confidence when they do not have any exposure to tax courses. </w:t>
      </w:r>
      <w:r w:rsidR="00527DDD" w:rsidRPr="002733DF">
        <w:rPr>
          <w:rFonts w:ascii="Times New Roman" w:hAnsi="Times New Roman" w:cs="Times New Roman"/>
          <w:bCs/>
          <w:sz w:val="20"/>
          <w:szCs w:val="20"/>
          <w:lang w:val="en-US"/>
        </w:rPr>
        <w:t>S</w:t>
      </w:r>
      <w:r w:rsidR="00527DDD" w:rsidRPr="002733DF">
        <w:rPr>
          <w:rFonts w:ascii="Times New Roman" w:hAnsi="Times New Roman" w:cs="Times New Roman"/>
          <w:sz w:val="20"/>
          <w:szCs w:val="20"/>
          <w:lang w:val="en-US"/>
        </w:rPr>
        <w:t xml:space="preserve">ince the tax questions are intended to be covered by an introductory tax course, participants’ tax literacy score may represent an assessment of the retained tax knowledge of students who have taken the tax course. We exclude participants who have taken tax courses from the sample, and we then regress </w:t>
      </w:r>
      <w:proofErr w:type="spellStart"/>
      <w:r w:rsidR="00527DDD" w:rsidRPr="002733DF">
        <w:rPr>
          <w:rFonts w:ascii="Times New Roman" w:hAnsi="Times New Roman" w:cs="Times New Roman"/>
          <w:i/>
          <w:sz w:val="20"/>
          <w:szCs w:val="20"/>
          <w:lang w:val="en-US"/>
        </w:rPr>
        <w:t>TaxLit</w:t>
      </w:r>
      <w:proofErr w:type="spellEnd"/>
      <w:r w:rsidR="00527DDD" w:rsidRPr="002733DF">
        <w:rPr>
          <w:rFonts w:ascii="Times New Roman" w:hAnsi="Times New Roman" w:cs="Times New Roman"/>
          <w:sz w:val="20"/>
          <w:szCs w:val="20"/>
          <w:lang w:val="en-US"/>
        </w:rPr>
        <w:t xml:space="preserve"> on </w:t>
      </w:r>
      <w:proofErr w:type="spellStart"/>
      <w:r w:rsidR="00527DDD" w:rsidRPr="002733DF">
        <w:rPr>
          <w:rFonts w:ascii="Times New Roman" w:hAnsi="Times New Roman" w:cs="Times New Roman"/>
          <w:i/>
          <w:sz w:val="20"/>
          <w:szCs w:val="20"/>
          <w:lang w:val="en-US"/>
        </w:rPr>
        <w:t>FinLit</w:t>
      </w:r>
      <w:proofErr w:type="spellEnd"/>
      <w:r w:rsidR="00527DDD" w:rsidRPr="002733DF">
        <w:rPr>
          <w:rFonts w:ascii="Times New Roman" w:hAnsi="Times New Roman" w:cs="Times New Roman"/>
          <w:sz w:val="20"/>
          <w:szCs w:val="20"/>
          <w:lang w:val="en-US"/>
        </w:rPr>
        <w:t xml:space="preserve"> and other socio-economic variables. </w:t>
      </w:r>
      <w:r w:rsidRPr="002733DF">
        <w:rPr>
          <w:rFonts w:ascii="Times New Roman" w:hAnsi="Times New Roman" w:cs="Times New Roman"/>
          <w:bCs/>
          <w:sz w:val="20"/>
          <w:szCs w:val="20"/>
          <w:lang w:val="en-US"/>
        </w:rPr>
        <w:t xml:space="preserve">This sample </w:t>
      </w:r>
      <w:r w:rsidR="00034AA0" w:rsidRPr="002733DF">
        <w:rPr>
          <w:rFonts w:ascii="Times New Roman" w:hAnsi="Times New Roman" w:cs="Times New Roman"/>
          <w:bCs/>
          <w:sz w:val="20"/>
          <w:szCs w:val="20"/>
          <w:lang w:val="en-US"/>
        </w:rPr>
        <w:t xml:space="preserve">also </w:t>
      </w:r>
      <w:r w:rsidRPr="002733DF">
        <w:rPr>
          <w:rFonts w:ascii="Times New Roman" w:hAnsi="Times New Roman" w:cs="Times New Roman"/>
          <w:bCs/>
          <w:sz w:val="20"/>
          <w:szCs w:val="20"/>
          <w:lang w:val="en-US"/>
        </w:rPr>
        <w:t xml:space="preserve">represents </w:t>
      </w:r>
      <w:proofErr w:type="gramStart"/>
      <w:r w:rsidRPr="002733DF">
        <w:rPr>
          <w:rFonts w:ascii="Times New Roman" w:hAnsi="Times New Roman" w:cs="Times New Roman"/>
          <w:bCs/>
          <w:sz w:val="20"/>
          <w:szCs w:val="20"/>
          <w:lang w:val="en-US"/>
        </w:rPr>
        <w:t>the majority of</w:t>
      </w:r>
      <w:proofErr w:type="gramEnd"/>
      <w:r w:rsidRPr="002733DF">
        <w:rPr>
          <w:rFonts w:ascii="Times New Roman" w:hAnsi="Times New Roman" w:cs="Times New Roman"/>
          <w:bCs/>
          <w:sz w:val="20"/>
          <w:szCs w:val="20"/>
          <w:lang w:val="en-US"/>
        </w:rPr>
        <w:t xml:space="preserve"> business students</w:t>
      </w:r>
      <w:r w:rsidR="00D750C4" w:rsidRPr="002733DF">
        <w:rPr>
          <w:rFonts w:ascii="Times New Roman" w:hAnsi="Times New Roman" w:cs="Times New Roman"/>
          <w:bCs/>
          <w:sz w:val="20"/>
          <w:szCs w:val="20"/>
          <w:lang w:val="en-US"/>
        </w:rPr>
        <w:t xml:space="preserve"> and provides an opportunity for us to establish statistical findings on how students gain their tax literacy and tax confidence</w:t>
      </w:r>
      <w:r w:rsidRPr="002733DF">
        <w:rPr>
          <w:rFonts w:ascii="Times New Roman" w:hAnsi="Times New Roman" w:cs="Times New Roman"/>
          <w:bCs/>
          <w:sz w:val="20"/>
          <w:szCs w:val="20"/>
          <w:lang w:val="en-US"/>
        </w:rPr>
        <w:t xml:space="preserve">.  </w:t>
      </w:r>
      <w:r w:rsidR="00034AA0" w:rsidRPr="002733DF">
        <w:rPr>
          <w:rFonts w:ascii="Times New Roman" w:hAnsi="Times New Roman" w:cs="Times New Roman"/>
          <w:sz w:val="20"/>
          <w:szCs w:val="20"/>
          <w:lang w:val="en-US"/>
        </w:rPr>
        <w:t xml:space="preserve">Consequently, 36 observations are removed in this regression. </w:t>
      </w:r>
      <w:r w:rsidR="002733DF">
        <w:rPr>
          <w:rFonts w:ascii="Times New Roman" w:hAnsi="Times New Roman" w:cs="Times New Roman"/>
          <w:sz w:val="20"/>
          <w:szCs w:val="20"/>
          <w:lang w:val="en-US"/>
        </w:rPr>
        <w:t xml:space="preserve"> </w:t>
      </w:r>
    </w:p>
    <w:p w14:paraId="694D4C2B" w14:textId="77777777" w:rsidR="002733DF" w:rsidRPr="002733DF" w:rsidRDefault="002733DF" w:rsidP="00C45D4F">
      <w:pPr>
        <w:rPr>
          <w:rFonts w:ascii="Times New Roman" w:hAnsi="Times New Roman" w:cs="Times New Roman"/>
          <w:sz w:val="20"/>
          <w:szCs w:val="20"/>
          <w:lang w:val="en-US"/>
        </w:rPr>
      </w:pPr>
    </w:p>
    <w:p w14:paraId="6669133D" w14:textId="07B4749D" w:rsidR="00DA614A" w:rsidRDefault="0060793B" w:rsidP="00C45D4F">
      <w:pPr>
        <w:rPr>
          <w:rFonts w:ascii="Times New Roman" w:hAnsi="Times New Roman" w:cs="Times New Roman"/>
          <w:bCs/>
          <w:sz w:val="20"/>
          <w:szCs w:val="20"/>
          <w:lang w:val="en-US"/>
        </w:rPr>
      </w:pPr>
      <w:r w:rsidRPr="002733DF">
        <w:rPr>
          <w:rFonts w:ascii="Times New Roman" w:hAnsi="Times New Roman" w:cs="Times New Roman"/>
          <w:bCs/>
          <w:sz w:val="20"/>
          <w:szCs w:val="20"/>
          <w:lang w:val="en-US"/>
        </w:rPr>
        <w:t xml:space="preserve">As reported in Table 8, we find that non-tax accounting courses are not correlated with either tax literacy or tax confidence. </w:t>
      </w:r>
      <w:r w:rsidR="00D750C4" w:rsidRPr="002733DF">
        <w:rPr>
          <w:rFonts w:ascii="Times New Roman" w:hAnsi="Times New Roman" w:cs="Times New Roman"/>
          <w:bCs/>
          <w:sz w:val="20"/>
          <w:szCs w:val="20"/>
          <w:lang w:val="en-US"/>
        </w:rPr>
        <w:t>Participants’ financial experience is positively correlated with their tax literacy but not their tax confidence</w:t>
      </w:r>
      <w:r w:rsidR="00C85BCD" w:rsidRPr="002733DF">
        <w:rPr>
          <w:rFonts w:ascii="Times New Roman" w:hAnsi="Times New Roman" w:cs="Times New Roman"/>
          <w:bCs/>
          <w:sz w:val="20"/>
          <w:szCs w:val="20"/>
          <w:lang w:val="en-US"/>
        </w:rPr>
        <w:t xml:space="preserve">, and their financial confidence continues to be positively correlated with tax confidence. </w:t>
      </w:r>
      <w:r w:rsidR="001F7C17" w:rsidRPr="002733DF">
        <w:rPr>
          <w:rFonts w:ascii="Times New Roman" w:hAnsi="Times New Roman" w:cs="Times New Roman"/>
          <w:bCs/>
          <w:sz w:val="20"/>
          <w:szCs w:val="20"/>
          <w:lang w:val="en-US"/>
        </w:rPr>
        <w:t>Return filing experiences are positively correlated with tax literacy (</w:t>
      </w:r>
      <w:proofErr w:type="spellStart"/>
      <w:r w:rsidR="001F7C17" w:rsidRPr="002733DF">
        <w:rPr>
          <w:rFonts w:ascii="Times New Roman" w:hAnsi="Times New Roman" w:cs="Times New Roman"/>
          <w:bCs/>
          <w:i/>
          <w:sz w:val="20"/>
          <w:szCs w:val="20"/>
          <w:lang w:val="en-US"/>
        </w:rPr>
        <w:t>SoftwareFile</w:t>
      </w:r>
      <w:proofErr w:type="spellEnd"/>
      <w:r w:rsidR="001F7C17" w:rsidRPr="002733DF">
        <w:rPr>
          <w:rFonts w:ascii="Times New Roman" w:hAnsi="Times New Roman" w:cs="Times New Roman"/>
          <w:bCs/>
          <w:sz w:val="20"/>
          <w:szCs w:val="20"/>
          <w:lang w:val="en-US"/>
        </w:rPr>
        <w:t>, 0.096, p-value&lt;0.05) and tax confidence (</w:t>
      </w:r>
      <w:proofErr w:type="spellStart"/>
      <w:r w:rsidR="001F7C17" w:rsidRPr="002733DF">
        <w:rPr>
          <w:rFonts w:ascii="Times New Roman" w:hAnsi="Times New Roman" w:cs="Times New Roman"/>
          <w:bCs/>
          <w:i/>
          <w:sz w:val="20"/>
          <w:szCs w:val="20"/>
          <w:lang w:val="en-US"/>
        </w:rPr>
        <w:t>PaperFile</w:t>
      </w:r>
      <w:proofErr w:type="spellEnd"/>
      <w:r w:rsidR="001F7C17" w:rsidRPr="002733DF">
        <w:rPr>
          <w:rFonts w:ascii="Times New Roman" w:hAnsi="Times New Roman" w:cs="Times New Roman"/>
          <w:bCs/>
          <w:sz w:val="20"/>
          <w:szCs w:val="20"/>
          <w:lang w:val="en-US"/>
        </w:rPr>
        <w:t xml:space="preserve">, 0.53, p-value&lt;0.01; and </w:t>
      </w:r>
      <w:proofErr w:type="spellStart"/>
      <w:r w:rsidR="001F7C17" w:rsidRPr="002733DF">
        <w:rPr>
          <w:rFonts w:ascii="Times New Roman" w:hAnsi="Times New Roman" w:cs="Times New Roman"/>
          <w:bCs/>
          <w:i/>
          <w:sz w:val="20"/>
          <w:szCs w:val="20"/>
          <w:lang w:val="en-US"/>
        </w:rPr>
        <w:t>SoftwareFile</w:t>
      </w:r>
      <w:proofErr w:type="spellEnd"/>
      <w:r w:rsidR="001F7C17" w:rsidRPr="002733DF">
        <w:rPr>
          <w:rFonts w:ascii="Times New Roman" w:hAnsi="Times New Roman" w:cs="Times New Roman"/>
          <w:bCs/>
          <w:sz w:val="20"/>
          <w:szCs w:val="20"/>
          <w:lang w:val="en-US"/>
        </w:rPr>
        <w:t>, 0.33, p-value&lt;0.05).</w:t>
      </w:r>
      <w:r w:rsidR="002733DF">
        <w:rPr>
          <w:rFonts w:ascii="Times New Roman" w:hAnsi="Times New Roman" w:cs="Times New Roman"/>
          <w:bCs/>
          <w:sz w:val="20"/>
          <w:szCs w:val="20"/>
          <w:lang w:val="en-US"/>
        </w:rPr>
        <w:t xml:space="preserve">  </w:t>
      </w:r>
    </w:p>
    <w:p w14:paraId="14A497FA" w14:textId="77777777" w:rsidR="002733DF" w:rsidRPr="002733DF" w:rsidRDefault="002733DF" w:rsidP="00C45D4F">
      <w:pPr>
        <w:rPr>
          <w:rFonts w:ascii="Times New Roman" w:hAnsi="Times New Roman" w:cs="Times New Roman"/>
          <w:bCs/>
          <w:sz w:val="20"/>
          <w:szCs w:val="20"/>
          <w:lang w:val="en-US"/>
        </w:rPr>
      </w:pPr>
    </w:p>
    <w:p w14:paraId="55EC9180" w14:textId="43B319DC" w:rsidR="00562B68" w:rsidRDefault="001F7C17" w:rsidP="00C45D4F">
      <w:pPr>
        <w:rPr>
          <w:rFonts w:ascii="Times New Roman" w:hAnsi="Times New Roman" w:cs="Times New Roman"/>
          <w:bCs/>
          <w:sz w:val="20"/>
          <w:szCs w:val="20"/>
          <w:lang w:val="en-US"/>
        </w:rPr>
      </w:pPr>
      <w:r w:rsidRPr="002733DF">
        <w:rPr>
          <w:rFonts w:ascii="Times New Roman" w:hAnsi="Times New Roman" w:cs="Times New Roman"/>
          <w:bCs/>
          <w:sz w:val="20"/>
          <w:szCs w:val="20"/>
          <w:lang w:val="en-US"/>
        </w:rPr>
        <w:t xml:space="preserve">Overall, the results confirm our previous findings that non-tax education is not related to tax literacy or tax confidence, and that participants gain tax knowledge and tax confidence through filing their own tax returns. </w:t>
      </w:r>
      <w:r w:rsidR="00C527E3" w:rsidRPr="002733DF">
        <w:rPr>
          <w:rFonts w:ascii="Times New Roman" w:hAnsi="Times New Roman" w:cs="Times New Roman"/>
          <w:bCs/>
          <w:sz w:val="20"/>
          <w:szCs w:val="20"/>
          <w:lang w:val="en-US"/>
        </w:rPr>
        <w:t>Compar</w:t>
      </w:r>
      <w:r w:rsidR="00034AA0" w:rsidRPr="002733DF">
        <w:rPr>
          <w:rFonts w:ascii="Times New Roman" w:hAnsi="Times New Roman" w:cs="Times New Roman"/>
          <w:bCs/>
          <w:sz w:val="20"/>
          <w:szCs w:val="20"/>
          <w:lang w:val="en-US"/>
        </w:rPr>
        <w:t>ed to t</w:t>
      </w:r>
      <w:r w:rsidR="00C527E3" w:rsidRPr="002733DF">
        <w:rPr>
          <w:rFonts w:ascii="Times New Roman" w:hAnsi="Times New Roman" w:cs="Times New Roman"/>
          <w:bCs/>
          <w:sz w:val="20"/>
          <w:szCs w:val="20"/>
          <w:lang w:val="en-US"/>
        </w:rPr>
        <w:t xml:space="preserve">he findings in Table </w:t>
      </w:r>
      <w:r w:rsidR="002363D7" w:rsidRPr="002733DF">
        <w:rPr>
          <w:rFonts w:ascii="Times New Roman" w:hAnsi="Times New Roman" w:cs="Times New Roman"/>
          <w:bCs/>
          <w:sz w:val="20"/>
          <w:szCs w:val="20"/>
          <w:lang w:val="en-US"/>
        </w:rPr>
        <w:t>8,</w:t>
      </w:r>
      <w:r w:rsidR="00034AA0" w:rsidRPr="002733DF">
        <w:rPr>
          <w:rFonts w:ascii="Times New Roman" w:hAnsi="Times New Roman" w:cs="Times New Roman"/>
          <w:bCs/>
          <w:sz w:val="20"/>
          <w:szCs w:val="20"/>
          <w:lang w:val="en-US"/>
        </w:rPr>
        <w:t xml:space="preserve"> </w:t>
      </w:r>
      <w:r w:rsidR="002363D7" w:rsidRPr="002733DF">
        <w:rPr>
          <w:rFonts w:ascii="Times New Roman" w:hAnsi="Times New Roman" w:cs="Times New Roman"/>
          <w:bCs/>
          <w:sz w:val="20"/>
          <w:szCs w:val="20"/>
          <w:lang w:val="en-US"/>
        </w:rPr>
        <w:t xml:space="preserve">the findings in Table 6 suggests tax education is effective in increasing </w:t>
      </w:r>
      <w:r w:rsidR="002363D7" w:rsidRPr="002733DF">
        <w:rPr>
          <w:rFonts w:ascii="Times New Roman" w:hAnsi="Times New Roman" w:cs="Times New Roman"/>
          <w:bCs/>
          <w:sz w:val="20"/>
          <w:szCs w:val="20"/>
          <w:lang w:val="en-US"/>
        </w:rPr>
        <w:lastRenderedPageBreak/>
        <w:t xml:space="preserve">participants’ tax literacy levels, since </w:t>
      </w:r>
      <w:r w:rsidR="00034AA0" w:rsidRPr="002733DF">
        <w:rPr>
          <w:rFonts w:ascii="Times New Roman" w:hAnsi="Times New Roman" w:cs="Times New Roman"/>
          <w:bCs/>
          <w:sz w:val="20"/>
          <w:szCs w:val="20"/>
          <w:lang w:val="en-US"/>
        </w:rPr>
        <w:t>that</w:t>
      </w:r>
      <w:r w:rsidR="00907C9F" w:rsidRPr="002733DF">
        <w:rPr>
          <w:rFonts w:ascii="Times New Roman" w:hAnsi="Times New Roman" w:cs="Times New Roman"/>
          <w:bCs/>
          <w:sz w:val="20"/>
          <w:szCs w:val="20"/>
          <w:lang w:val="en-US"/>
        </w:rPr>
        <w:t xml:space="preserve"> tax education is positively correlated to tax literacy and </w:t>
      </w:r>
      <w:proofErr w:type="spellStart"/>
      <w:r w:rsidR="00907C9F" w:rsidRPr="002733DF">
        <w:rPr>
          <w:rFonts w:ascii="Times New Roman" w:hAnsi="Times New Roman" w:cs="Times New Roman"/>
          <w:bCs/>
          <w:i/>
          <w:sz w:val="20"/>
          <w:szCs w:val="20"/>
          <w:lang w:val="en-US"/>
        </w:rPr>
        <w:t>SoftwareFile</w:t>
      </w:r>
      <w:proofErr w:type="spellEnd"/>
      <w:r w:rsidR="00907C9F" w:rsidRPr="002733DF">
        <w:rPr>
          <w:rFonts w:ascii="Times New Roman" w:hAnsi="Times New Roman" w:cs="Times New Roman"/>
          <w:bCs/>
          <w:sz w:val="20"/>
          <w:szCs w:val="20"/>
          <w:lang w:val="en-US"/>
        </w:rPr>
        <w:t xml:space="preserve"> is </w:t>
      </w:r>
      <w:r w:rsidR="00DA614A" w:rsidRPr="002733DF">
        <w:rPr>
          <w:rFonts w:ascii="Times New Roman" w:hAnsi="Times New Roman" w:cs="Times New Roman"/>
          <w:bCs/>
          <w:sz w:val="20"/>
          <w:szCs w:val="20"/>
          <w:lang w:val="en-US"/>
        </w:rPr>
        <w:t xml:space="preserve">only </w:t>
      </w:r>
      <w:r w:rsidR="00907C9F" w:rsidRPr="002733DF">
        <w:rPr>
          <w:rFonts w:ascii="Times New Roman" w:hAnsi="Times New Roman" w:cs="Times New Roman"/>
          <w:bCs/>
          <w:sz w:val="20"/>
          <w:szCs w:val="20"/>
          <w:lang w:val="en-US"/>
        </w:rPr>
        <w:t>we</w:t>
      </w:r>
      <w:r w:rsidR="002363D7" w:rsidRPr="002733DF">
        <w:rPr>
          <w:rFonts w:ascii="Times New Roman" w:hAnsi="Times New Roman" w:cs="Times New Roman"/>
          <w:bCs/>
          <w:sz w:val="20"/>
          <w:szCs w:val="20"/>
          <w:lang w:val="en-US"/>
        </w:rPr>
        <w:t>akly correlated to tax literacy in Table 6 (Model 5)</w:t>
      </w:r>
      <w:r w:rsidR="00C527E3" w:rsidRPr="002733DF">
        <w:rPr>
          <w:rFonts w:ascii="Times New Roman" w:hAnsi="Times New Roman" w:cs="Times New Roman"/>
          <w:bCs/>
          <w:sz w:val="20"/>
          <w:szCs w:val="20"/>
          <w:lang w:val="en-US"/>
        </w:rPr>
        <w:t>.</w:t>
      </w:r>
      <w:r w:rsidR="00527DDD" w:rsidRPr="002733DF">
        <w:rPr>
          <w:rFonts w:ascii="Times New Roman" w:hAnsi="Times New Roman" w:cs="Times New Roman"/>
          <w:bCs/>
          <w:sz w:val="20"/>
          <w:szCs w:val="20"/>
          <w:lang w:val="en-US"/>
        </w:rPr>
        <w:t xml:space="preserve"> </w:t>
      </w:r>
      <w:r w:rsidR="00034AA0" w:rsidRPr="002733DF">
        <w:rPr>
          <w:rFonts w:ascii="Times New Roman" w:hAnsi="Times New Roman" w:cs="Times New Roman"/>
          <w:sz w:val="20"/>
          <w:szCs w:val="20"/>
          <w:lang w:val="en-US"/>
        </w:rPr>
        <w:t>Moreover</w:t>
      </w:r>
      <w:r w:rsidR="00527DDD" w:rsidRPr="002733DF">
        <w:rPr>
          <w:rFonts w:ascii="Times New Roman" w:hAnsi="Times New Roman" w:cs="Times New Roman"/>
          <w:sz w:val="20"/>
          <w:szCs w:val="20"/>
          <w:lang w:val="en-US"/>
        </w:rPr>
        <w:t xml:space="preserve">, the main findings do not seem to be biased by students who have taken tax courses. </w:t>
      </w:r>
      <w:r w:rsidR="00C527E3" w:rsidRPr="002733DF">
        <w:rPr>
          <w:rFonts w:ascii="Times New Roman" w:hAnsi="Times New Roman" w:cs="Times New Roman"/>
          <w:bCs/>
          <w:sz w:val="20"/>
          <w:szCs w:val="20"/>
          <w:lang w:val="en-US"/>
        </w:rPr>
        <w:t xml:space="preserve"> </w:t>
      </w:r>
    </w:p>
    <w:p w14:paraId="113B93E3" w14:textId="77777777" w:rsidR="002733DF" w:rsidRPr="002733DF" w:rsidRDefault="002733DF" w:rsidP="00C45D4F">
      <w:pPr>
        <w:rPr>
          <w:rFonts w:ascii="Times New Roman" w:hAnsi="Times New Roman" w:cs="Times New Roman"/>
          <w:bCs/>
          <w:sz w:val="20"/>
          <w:szCs w:val="20"/>
          <w:lang w:val="en-US"/>
        </w:rPr>
      </w:pPr>
    </w:p>
    <w:p w14:paraId="1A0DA97A" w14:textId="3E3A2A59" w:rsidR="005A1279" w:rsidRDefault="009A1FE5" w:rsidP="00C45D4F">
      <w:pPr>
        <w:rPr>
          <w:rFonts w:ascii="Times New Roman" w:hAnsi="Times New Roman" w:cs="Times New Roman"/>
          <w:bCs/>
          <w:sz w:val="20"/>
          <w:szCs w:val="20"/>
          <w:lang w:val="en-US"/>
        </w:rPr>
      </w:pPr>
      <w:r w:rsidRPr="002733DF">
        <w:rPr>
          <w:rFonts w:ascii="Times New Roman" w:hAnsi="Times New Roman" w:cs="Times New Roman"/>
          <w:bCs/>
          <w:sz w:val="20"/>
          <w:szCs w:val="20"/>
          <w:lang w:val="en-US"/>
        </w:rPr>
        <w:t>Moreover, a</w:t>
      </w:r>
      <w:r w:rsidR="00DA614A" w:rsidRPr="002733DF">
        <w:rPr>
          <w:rFonts w:ascii="Times New Roman" w:hAnsi="Times New Roman" w:cs="Times New Roman"/>
          <w:bCs/>
          <w:sz w:val="20"/>
          <w:szCs w:val="20"/>
          <w:lang w:val="en-US"/>
        </w:rPr>
        <w:t xml:space="preserve">s our dependent variables have values between zero to one, we run Equations (1) and (2) using Tobit regression instead of ordinary least square regression. The results are reported in Table 9. </w:t>
      </w:r>
      <w:r w:rsidRPr="002733DF">
        <w:rPr>
          <w:rFonts w:ascii="Times New Roman" w:hAnsi="Times New Roman" w:cs="Times New Roman"/>
          <w:bCs/>
          <w:sz w:val="20"/>
          <w:szCs w:val="20"/>
          <w:lang w:val="en-US"/>
        </w:rPr>
        <w:t xml:space="preserve">Our </w:t>
      </w:r>
      <w:r w:rsidR="00DA614A" w:rsidRPr="002733DF">
        <w:rPr>
          <w:rFonts w:ascii="Times New Roman" w:hAnsi="Times New Roman" w:cs="Times New Roman"/>
          <w:bCs/>
          <w:sz w:val="20"/>
          <w:szCs w:val="20"/>
          <w:lang w:val="en-US"/>
        </w:rPr>
        <w:t xml:space="preserve">findings remain </w:t>
      </w:r>
      <w:r w:rsidRPr="002733DF">
        <w:rPr>
          <w:rFonts w:ascii="Times New Roman" w:hAnsi="Times New Roman" w:cs="Times New Roman"/>
          <w:bCs/>
          <w:sz w:val="20"/>
          <w:szCs w:val="20"/>
          <w:lang w:val="en-US"/>
        </w:rPr>
        <w:t>unchanged when we use the Tobit model to run the regressions.</w:t>
      </w:r>
      <w:r w:rsidR="002733DF">
        <w:rPr>
          <w:rFonts w:ascii="Times New Roman" w:hAnsi="Times New Roman" w:cs="Times New Roman"/>
          <w:bCs/>
          <w:sz w:val="20"/>
          <w:szCs w:val="20"/>
          <w:lang w:val="en-US"/>
        </w:rPr>
        <w:t xml:space="preserve">  </w:t>
      </w:r>
    </w:p>
    <w:p w14:paraId="49EB7D80" w14:textId="77777777" w:rsidR="002733DF" w:rsidRPr="002733DF" w:rsidRDefault="002733DF" w:rsidP="00C45D4F">
      <w:pPr>
        <w:rPr>
          <w:rFonts w:ascii="Times New Roman" w:hAnsi="Times New Roman" w:cs="Times New Roman"/>
          <w:bCs/>
          <w:sz w:val="20"/>
          <w:szCs w:val="20"/>
          <w:lang w:val="en-US"/>
        </w:rPr>
      </w:pPr>
    </w:p>
    <w:p w14:paraId="3A42A0C3" w14:textId="4DD93013" w:rsidR="00352FD2" w:rsidRDefault="009A1FE5" w:rsidP="00C45D4F">
      <w:pPr>
        <w:rPr>
          <w:rFonts w:ascii="Times New Roman" w:hAnsi="Times New Roman" w:cs="Times New Roman"/>
          <w:sz w:val="20"/>
          <w:szCs w:val="20"/>
        </w:rPr>
      </w:pPr>
      <w:r w:rsidRPr="002733DF">
        <w:rPr>
          <w:rFonts w:ascii="Times New Roman" w:hAnsi="Times New Roman" w:cs="Times New Roman"/>
          <w:sz w:val="20"/>
          <w:szCs w:val="20"/>
          <w:lang w:val="en-US"/>
        </w:rPr>
        <w:t>Lastly</w:t>
      </w:r>
      <w:r w:rsidR="00637B74" w:rsidRPr="002733DF">
        <w:rPr>
          <w:rFonts w:ascii="Times New Roman" w:hAnsi="Times New Roman" w:cs="Times New Roman"/>
          <w:sz w:val="20"/>
          <w:szCs w:val="20"/>
          <w:lang w:val="en-US"/>
        </w:rPr>
        <w:t>, we</w:t>
      </w:r>
      <w:r w:rsidR="00D853D3" w:rsidRPr="002733DF">
        <w:rPr>
          <w:rFonts w:ascii="Times New Roman" w:hAnsi="Times New Roman" w:cs="Times New Roman"/>
          <w:sz w:val="20"/>
          <w:szCs w:val="20"/>
          <w:lang w:val="en-US"/>
        </w:rPr>
        <w:t xml:space="preserve"> rer</w:t>
      </w:r>
      <w:r w:rsidR="00637B74" w:rsidRPr="002733DF">
        <w:rPr>
          <w:rFonts w:ascii="Times New Roman" w:hAnsi="Times New Roman" w:cs="Times New Roman"/>
          <w:sz w:val="20"/>
          <w:szCs w:val="20"/>
          <w:lang w:val="en-US"/>
        </w:rPr>
        <w:t>u</w:t>
      </w:r>
      <w:r w:rsidR="00562B68" w:rsidRPr="002733DF">
        <w:rPr>
          <w:rFonts w:ascii="Times New Roman" w:hAnsi="Times New Roman" w:cs="Times New Roman"/>
          <w:sz w:val="20"/>
          <w:szCs w:val="20"/>
          <w:lang w:val="en-US"/>
        </w:rPr>
        <w:t>n Equation (1</w:t>
      </w:r>
      <w:r w:rsidR="00D853D3" w:rsidRPr="002733DF">
        <w:rPr>
          <w:rFonts w:ascii="Times New Roman" w:hAnsi="Times New Roman" w:cs="Times New Roman"/>
          <w:sz w:val="20"/>
          <w:szCs w:val="20"/>
          <w:lang w:val="en-US"/>
        </w:rPr>
        <w:t>) on each TQ t</w:t>
      </w:r>
      <w:r w:rsidR="00550D7F" w:rsidRPr="002733DF">
        <w:rPr>
          <w:rFonts w:ascii="Times New Roman" w:hAnsi="Times New Roman" w:cs="Times New Roman"/>
          <w:sz w:val="20"/>
          <w:szCs w:val="20"/>
          <w:lang w:val="en-US"/>
        </w:rPr>
        <w:t>o better understand wh</w:t>
      </w:r>
      <w:r w:rsidR="00A211D5" w:rsidRPr="002733DF">
        <w:rPr>
          <w:rFonts w:ascii="Times New Roman" w:hAnsi="Times New Roman" w:cs="Times New Roman"/>
          <w:sz w:val="20"/>
          <w:szCs w:val="20"/>
          <w:lang w:val="en-US"/>
        </w:rPr>
        <w:t>ich</w:t>
      </w:r>
      <w:r w:rsidR="00550D7F" w:rsidRPr="002733DF">
        <w:rPr>
          <w:rFonts w:ascii="Times New Roman" w:hAnsi="Times New Roman" w:cs="Times New Roman"/>
          <w:sz w:val="20"/>
          <w:szCs w:val="20"/>
          <w:lang w:val="en-US"/>
        </w:rPr>
        <w:t xml:space="preserve"> determinants drive the variations in tax scores across various </w:t>
      </w:r>
      <w:r w:rsidR="00D853D3" w:rsidRPr="002733DF">
        <w:rPr>
          <w:rFonts w:ascii="Times New Roman" w:hAnsi="Times New Roman" w:cs="Times New Roman"/>
          <w:sz w:val="20"/>
          <w:szCs w:val="20"/>
          <w:lang w:val="en-US"/>
        </w:rPr>
        <w:t>questions.</w:t>
      </w:r>
      <w:r w:rsidR="00550D7F" w:rsidRPr="002733DF">
        <w:rPr>
          <w:rFonts w:ascii="Times New Roman" w:hAnsi="Times New Roman" w:cs="Times New Roman"/>
          <w:sz w:val="20"/>
          <w:szCs w:val="20"/>
          <w:lang w:val="en-US"/>
        </w:rPr>
        <w:t xml:space="preserve"> </w:t>
      </w:r>
      <w:r w:rsidR="00D853D3" w:rsidRPr="002733DF">
        <w:rPr>
          <w:rFonts w:ascii="Times New Roman" w:hAnsi="Times New Roman" w:cs="Times New Roman"/>
          <w:sz w:val="20"/>
          <w:szCs w:val="20"/>
          <w:lang w:val="en-US"/>
        </w:rPr>
        <w:t>Each TQ represents a particular tax concept</w:t>
      </w:r>
      <w:r w:rsidR="00786942" w:rsidRPr="002733DF">
        <w:rPr>
          <w:rFonts w:ascii="Times New Roman" w:hAnsi="Times New Roman" w:cs="Times New Roman"/>
          <w:sz w:val="20"/>
          <w:szCs w:val="20"/>
          <w:lang w:val="en-US"/>
        </w:rPr>
        <w:t>,</w:t>
      </w:r>
      <w:r w:rsidR="00D853D3" w:rsidRPr="002733DF">
        <w:rPr>
          <w:rFonts w:ascii="Times New Roman" w:hAnsi="Times New Roman" w:cs="Times New Roman"/>
          <w:sz w:val="20"/>
          <w:szCs w:val="20"/>
          <w:lang w:val="en-US"/>
        </w:rPr>
        <w:t xml:space="preserve"> and the overall </w:t>
      </w:r>
      <w:r w:rsidR="002F6DF8" w:rsidRPr="002733DF">
        <w:rPr>
          <w:rFonts w:ascii="Times New Roman" w:hAnsi="Times New Roman" w:cs="Times New Roman"/>
          <w:sz w:val="20"/>
          <w:szCs w:val="20"/>
          <w:lang w:val="en-US"/>
        </w:rPr>
        <w:t xml:space="preserve">score of </w:t>
      </w:r>
      <w:proofErr w:type="spellStart"/>
      <w:r w:rsidR="00D853D3" w:rsidRPr="002733DF">
        <w:rPr>
          <w:rFonts w:ascii="Times New Roman" w:hAnsi="Times New Roman" w:cs="Times New Roman"/>
          <w:i/>
          <w:sz w:val="20"/>
          <w:szCs w:val="20"/>
          <w:lang w:val="en-US"/>
        </w:rPr>
        <w:t>TaxLit</w:t>
      </w:r>
      <w:proofErr w:type="spellEnd"/>
      <w:r w:rsidR="00D853D3" w:rsidRPr="002733DF">
        <w:rPr>
          <w:rFonts w:ascii="Times New Roman" w:hAnsi="Times New Roman" w:cs="Times New Roman"/>
          <w:sz w:val="20"/>
          <w:szCs w:val="20"/>
          <w:lang w:val="en-US"/>
        </w:rPr>
        <w:t xml:space="preserve"> </w:t>
      </w:r>
      <w:r w:rsidR="00786942" w:rsidRPr="002733DF">
        <w:rPr>
          <w:rFonts w:ascii="Times New Roman" w:hAnsi="Times New Roman" w:cs="Times New Roman"/>
          <w:sz w:val="20"/>
          <w:szCs w:val="20"/>
          <w:lang w:val="en-US"/>
        </w:rPr>
        <w:t xml:space="preserve">thus </w:t>
      </w:r>
      <w:r w:rsidR="00D853D3" w:rsidRPr="002733DF">
        <w:rPr>
          <w:rFonts w:ascii="Times New Roman" w:hAnsi="Times New Roman" w:cs="Times New Roman"/>
          <w:sz w:val="20"/>
          <w:szCs w:val="20"/>
          <w:lang w:val="en-US"/>
        </w:rPr>
        <w:t xml:space="preserve">may not capture participants’ knowledge in </w:t>
      </w:r>
      <w:r w:rsidR="001D1B79" w:rsidRPr="002733DF">
        <w:rPr>
          <w:rFonts w:ascii="Times New Roman" w:hAnsi="Times New Roman" w:cs="Times New Roman"/>
          <w:sz w:val="20"/>
          <w:szCs w:val="20"/>
          <w:lang w:val="en-US"/>
        </w:rPr>
        <w:t xml:space="preserve">a </w:t>
      </w:r>
      <w:r w:rsidR="00D853D3" w:rsidRPr="002733DF">
        <w:rPr>
          <w:rFonts w:ascii="Times New Roman" w:hAnsi="Times New Roman" w:cs="Times New Roman"/>
          <w:sz w:val="20"/>
          <w:szCs w:val="20"/>
          <w:lang w:val="en-US"/>
        </w:rPr>
        <w:t xml:space="preserve">specific tax concept. </w:t>
      </w:r>
      <w:r w:rsidR="00550D7F" w:rsidRPr="002733DF">
        <w:rPr>
          <w:rFonts w:ascii="Times New Roman" w:hAnsi="Times New Roman" w:cs="Times New Roman"/>
          <w:sz w:val="20"/>
          <w:szCs w:val="20"/>
          <w:lang w:val="en-US"/>
        </w:rPr>
        <w:t xml:space="preserve">The </w:t>
      </w:r>
      <w:r w:rsidR="001A7093" w:rsidRPr="002733DF">
        <w:rPr>
          <w:rFonts w:ascii="Times New Roman" w:hAnsi="Times New Roman" w:cs="Times New Roman"/>
          <w:sz w:val="20"/>
          <w:szCs w:val="20"/>
          <w:lang w:val="en-US"/>
        </w:rPr>
        <w:t xml:space="preserve">stepwise regression </w:t>
      </w:r>
      <w:r w:rsidR="00550D7F" w:rsidRPr="002733DF">
        <w:rPr>
          <w:rFonts w:ascii="Times New Roman" w:hAnsi="Times New Roman" w:cs="Times New Roman"/>
          <w:sz w:val="20"/>
          <w:szCs w:val="20"/>
          <w:lang w:val="en-US"/>
        </w:rPr>
        <w:t>results are presented in Table 1</w:t>
      </w:r>
      <w:r w:rsidR="001D1B79" w:rsidRPr="002733DF">
        <w:rPr>
          <w:rFonts w:ascii="Times New Roman" w:hAnsi="Times New Roman" w:cs="Times New Roman"/>
          <w:sz w:val="20"/>
          <w:szCs w:val="20"/>
          <w:lang w:val="en-US"/>
        </w:rPr>
        <w:t>0</w:t>
      </w:r>
      <w:r w:rsidR="00550D7F" w:rsidRPr="002733DF">
        <w:rPr>
          <w:rFonts w:ascii="Times New Roman" w:hAnsi="Times New Roman" w:cs="Times New Roman"/>
          <w:sz w:val="20"/>
          <w:szCs w:val="20"/>
          <w:lang w:val="en-US"/>
        </w:rPr>
        <w:t>.</w:t>
      </w:r>
      <w:r w:rsidR="00352FD2" w:rsidRPr="002733DF">
        <w:rPr>
          <w:rFonts w:ascii="Times New Roman" w:hAnsi="Times New Roman" w:cs="Times New Roman"/>
          <w:sz w:val="20"/>
          <w:szCs w:val="20"/>
        </w:rPr>
        <w:t xml:space="preserve"> </w:t>
      </w:r>
      <w:r w:rsidR="002733DF">
        <w:rPr>
          <w:rFonts w:ascii="Times New Roman" w:hAnsi="Times New Roman" w:cs="Times New Roman"/>
          <w:sz w:val="20"/>
          <w:szCs w:val="20"/>
        </w:rPr>
        <w:t xml:space="preserve"> </w:t>
      </w:r>
    </w:p>
    <w:p w14:paraId="2591F5A6" w14:textId="77777777" w:rsidR="00CD14C9" w:rsidRPr="002733DF" w:rsidRDefault="00CD14C9" w:rsidP="00C45D4F">
      <w:pPr>
        <w:rPr>
          <w:rFonts w:ascii="Times New Roman" w:hAnsi="Times New Roman" w:cs="Times New Roman"/>
          <w:sz w:val="20"/>
          <w:szCs w:val="20"/>
          <w:lang w:val="en-US"/>
        </w:rPr>
      </w:pPr>
    </w:p>
    <w:p w14:paraId="0B154336" w14:textId="09F961A2" w:rsidR="00535FBB" w:rsidRDefault="00A211D5" w:rsidP="00C45D4F">
      <w:pPr>
        <w:rPr>
          <w:rFonts w:ascii="Times New Roman" w:hAnsi="Times New Roman" w:cs="Times New Roman"/>
          <w:sz w:val="20"/>
          <w:szCs w:val="20"/>
          <w:lang w:val="en-US"/>
        </w:rPr>
      </w:pPr>
      <w:r w:rsidRPr="002733DF">
        <w:rPr>
          <w:rFonts w:ascii="Times New Roman" w:hAnsi="Times New Roman" w:cs="Times New Roman"/>
          <w:sz w:val="20"/>
          <w:szCs w:val="20"/>
          <w:lang w:val="en-US"/>
        </w:rPr>
        <w:t xml:space="preserve">Table </w:t>
      </w:r>
      <w:r w:rsidR="00814576" w:rsidRPr="002733DF">
        <w:rPr>
          <w:rFonts w:ascii="Times New Roman" w:hAnsi="Times New Roman" w:cs="Times New Roman"/>
          <w:sz w:val="20"/>
          <w:szCs w:val="20"/>
          <w:lang w:val="en-US"/>
        </w:rPr>
        <w:t>10</w:t>
      </w:r>
      <w:r w:rsidRPr="002733DF">
        <w:rPr>
          <w:rFonts w:ascii="Times New Roman" w:hAnsi="Times New Roman" w:cs="Times New Roman"/>
          <w:sz w:val="20"/>
          <w:szCs w:val="20"/>
          <w:lang w:val="en-US"/>
        </w:rPr>
        <w:t xml:space="preserve"> suggests that </w:t>
      </w:r>
      <w:r w:rsidR="00AD30E4" w:rsidRPr="002733DF">
        <w:rPr>
          <w:rFonts w:ascii="Times New Roman" w:hAnsi="Times New Roman" w:cs="Times New Roman"/>
          <w:sz w:val="20"/>
          <w:szCs w:val="20"/>
          <w:lang w:val="en-US"/>
        </w:rPr>
        <w:t xml:space="preserve">the scores of individual tax questions </w:t>
      </w:r>
      <w:r w:rsidR="00CF4358" w:rsidRPr="002733DF">
        <w:rPr>
          <w:rFonts w:ascii="Times New Roman" w:hAnsi="Times New Roman" w:cs="Times New Roman"/>
          <w:sz w:val="20"/>
          <w:szCs w:val="20"/>
          <w:lang w:val="en-US"/>
        </w:rPr>
        <w:t xml:space="preserve">are associated with </w:t>
      </w:r>
      <w:r w:rsidR="00AD30E4" w:rsidRPr="002733DF">
        <w:rPr>
          <w:rFonts w:ascii="Times New Roman" w:hAnsi="Times New Roman" w:cs="Times New Roman"/>
          <w:sz w:val="20"/>
          <w:szCs w:val="20"/>
          <w:lang w:val="en-US"/>
        </w:rPr>
        <w:t>different</w:t>
      </w:r>
      <w:r w:rsidR="00CF4358" w:rsidRPr="002733DF">
        <w:rPr>
          <w:rFonts w:ascii="Times New Roman" w:hAnsi="Times New Roman" w:cs="Times New Roman"/>
          <w:sz w:val="20"/>
          <w:szCs w:val="20"/>
          <w:lang w:val="en-US"/>
        </w:rPr>
        <w:t xml:space="preserve"> </w:t>
      </w:r>
      <w:r w:rsidR="00B03807" w:rsidRPr="002733DF">
        <w:rPr>
          <w:rFonts w:ascii="Times New Roman" w:hAnsi="Times New Roman" w:cs="Times New Roman"/>
          <w:sz w:val="20"/>
          <w:szCs w:val="20"/>
          <w:lang w:val="en-US"/>
        </w:rPr>
        <w:t>determinants, including financial knowledge, financial experience, tax filing experien</w:t>
      </w:r>
      <w:r w:rsidR="00535FBB" w:rsidRPr="002733DF">
        <w:rPr>
          <w:rFonts w:ascii="Times New Roman" w:hAnsi="Times New Roman" w:cs="Times New Roman"/>
          <w:sz w:val="20"/>
          <w:szCs w:val="20"/>
          <w:lang w:val="en-US"/>
        </w:rPr>
        <w:t>ce</w:t>
      </w:r>
      <w:r w:rsidR="00B03807" w:rsidRPr="002733DF">
        <w:rPr>
          <w:rFonts w:ascii="Times New Roman" w:hAnsi="Times New Roman" w:cs="Times New Roman"/>
          <w:sz w:val="20"/>
          <w:szCs w:val="20"/>
          <w:lang w:val="en-US"/>
        </w:rPr>
        <w:t xml:space="preserve">, tax education, and other </w:t>
      </w:r>
      <w:r w:rsidR="00A20A21" w:rsidRPr="002733DF">
        <w:rPr>
          <w:rFonts w:ascii="Times New Roman" w:hAnsi="Times New Roman" w:cs="Times New Roman"/>
          <w:sz w:val="20"/>
          <w:szCs w:val="20"/>
          <w:lang w:val="en-US"/>
        </w:rPr>
        <w:t>socio-economic factors</w:t>
      </w:r>
      <w:r w:rsidRPr="002733DF">
        <w:rPr>
          <w:rFonts w:ascii="Times New Roman" w:hAnsi="Times New Roman" w:cs="Times New Roman"/>
          <w:sz w:val="20"/>
          <w:szCs w:val="20"/>
          <w:lang w:val="en-US"/>
        </w:rPr>
        <w:t xml:space="preserve">. </w:t>
      </w:r>
      <w:r w:rsidR="00562B68" w:rsidRPr="002733DF">
        <w:rPr>
          <w:rFonts w:ascii="Times New Roman" w:hAnsi="Times New Roman" w:cs="Times New Roman"/>
          <w:sz w:val="20"/>
          <w:szCs w:val="20"/>
          <w:lang w:val="en-US"/>
        </w:rPr>
        <w:t>The coefficient</w:t>
      </w:r>
      <w:r w:rsidR="00606465" w:rsidRPr="002733DF">
        <w:rPr>
          <w:rFonts w:ascii="Times New Roman" w:hAnsi="Times New Roman" w:cs="Times New Roman"/>
          <w:sz w:val="20"/>
          <w:szCs w:val="20"/>
          <w:lang w:val="en-US"/>
        </w:rPr>
        <w:t>s</w:t>
      </w:r>
      <w:r w:rsidR="00562B68" w:rsidRPr="002733DF">
        <w:rPr>
          <w:rFonts w:ascii="Times New Roman" w:hAnsi="Times New Roman" w:cs="Times New Roman"/>
          <w:sz w:val="20"/>
          <w:szCs w:val="20"/>
          <w:lang w:val="en-US"/>
        </w:rPr>
        <w:t xml:space="preserve"> for </w:t>
      </w:r>
      <w:proofErr w:type="spellStart"/>
      <w:r w:rsidR="00562B68" w:rsidRPr="002733DF">
        <w:rPr>
          <w:rFonts w:ascii="Times New Roman" w:hAnsi="Times New Roman" w:cs="Times New Roman"/>
          <w:i/>
          <w:sz w:val="20"/>
          <w:szCs w:val="20"/>
          <w:lang w:val="en-US"/>
        </w:rPr>
        <w:t>FinLit</w:t>
      </w:r>
      <w:proofErr w:type="spellEnd"/>
      <w:r w:rsidR="00606465" w:rsidRPr="002733DF">
        <w:rPr>
          <w:rFonts w:ascii="Times New Roman" w:hAnsi="Times New Roman" w:cs="Times New Roman"/>
          <w:sz w:val="20"/>
          <w:szCs w:val="20"/>
          <w:lang w:val="en-US"/>
        </w:rPr>
        <w:t xml:space="preserve"> </w:t>
      </w:r>
      <w:proofErr w:type="gramStart"/>
      <w:r w:rsidR="00606465" w:rsidRPr="002733DF">
        <w:rPr>
          <w:rFonts w:ascii="Times New Roman" w:hAnsi="Times New Roman" w:cs="Times New Roman"/>
          <w:sz w:val="20"/>
          <w:szCs w:val="20"/>
          <w:lang w:val="en-US"/>
        </w:rPr>
        <w:t>is</w:t>
      </w:r>
      <w:proofErr w:type="gramEnd"/>
      <w:r w:rsidR="00606465" w:rsidRPr="002733DF">
        <w:rPr>
          <w:rFonts w:ascii="Times New Roman" w:hAnsi="Times New Roman" w:cs="Times New Roman"/>
          <w:sz w:val="20"/>
          <w:szCs w:val="20"/>
          <w:lang w:val="en-US"/>
        </w:rPr>
        <w:t xml:space="preserve"> positive and significant in all of the TQs except </w:t>
      </w:r>
      <w:r w:rsidR="001E7EF4" w:rsidRPr="002733DF">
        <w:rPr>
          <w:rFonts w:ascii="Times New Roman" w:hAnsi="Times New Roman" w:cs="Times New Roman"/>
          <w:sz w:val="20"/>
          <w:szCs w:val="20"/>
          <w:lang w:val="en-US"/>
        </w:rPr>
        <w:t>Q1</w:t>
      </w:r>
      <w:r w:rsidR="00606465" w:rsidRPr="002733DF">
        <w:rPr>
          <w:rFonts w:ascii="Times New Roman" w:hAnsi="Times New Roman" w:cs="Times New Roman"/>
          <w:sz w:val="20"/>
          <w:szCs w:val="20"/>
          <w:lang w:val="en-US"/>
        </w:rPr>
        <w:t xml:space="preserve">, </w:t>
      </w:r>
      <w:r w:rsidR="001E7EF4" w:rsidRPr="002733DF">
        <w:rPr>
          <w:rFonts w:ascii="Times New Roman" w:hAnsi="Times New Roman" w:cs="Times New Roman"/>
          <w:sz w:val="20"/>
          <w:szCs w:val="20"/>
          <w:lang w:val="en-US"/>
        </w:rPr>
        <w:t>Q3</w:t>
      </w:r>
      <w:r w:rsidR="00606465" w:rsidRPr="002733DF">
        <w:rPr>
          <w:rFonts w:ascii="Times New Roman" w:hAnsi="Times New Roman" w:cs="Times New Roman"/>
          <w:sz w:val="20"/>
          <w:szCs w:val="20"/>
          <w:lang w:val="en-US"/>
        </w:rPr>
        <w:t xml:space="preserve">, and </w:t>
      </w:r>
      <w:r w:rsidR="001E7EF4" w:rsidRPr="002733DF">
        <w:rPr>
          <w:rFonts w:ascii="Times New Roman" w:hAnsi="Times New Roman" w:cs="Times New Roman"/>
          <w:sz w:val="20"/>
          <w:szCs w:val="20"/>
          <w:lang w:val="en-US"/>
        </w:rPr>
        <w:t>Q5</w:t>
      </w:r>
      <w:r w:rsidR="00F83A0B" w:rsidRPr="002733DF">
        <w:rPr>
          <w:rFonts w:ascii="Times New Roman" w:hAnsi="Times New Roman" w:cs="Times New Roman"/>
          <w:sz w:val="20"/>
          <w:szCs w:val="20"/>
          <w:lang w:val="en-US"/>
        </w:rPr>
        <w:t xml:space="preserve">, suggesting the strong relation between financial literacy and tax literacy. </w:t>
      </w:r>
      <w:r w:rsidR="00562B68" w:rsidRPr="002733DF">
        <w:rPr>
          <w:rFonts w:ascii="Times New Roman" w:hAnsi="Times New Roman" w:cs="Times New Roman"/>
          <w:sz w:val="20"/>
          <w:szCs w:val="20"/>
          <w:lang w:val="en-US"/>
        </w:rPr>
        <w:t xml:space="preserve">The coefficient for accounting education, specifically </w:t>
      </w:r>
      <w:proofErr w:type="spellStart"/>
      <w:r w:rsidR="00562B68" w:rsidRPr="002733DF">
        <w:rPr>
          <w:rFonts w:ascii="Times New Roman" w:hAnsi="Times New Roman" w:cs="Times New Roman"/>
          <w:i/>
          <w:sz w:val="20"/>
          <w:szCs w:val="20"/>
          <w:lang w:val="en-US"/>
        </w:rPr>
        <w:t>UpperAcctg</w:t>
      </w:r>
      <w:proofErr w:type="spellEnd"/>
      <w:r w:rsidR="00562B68" w:rsidRPr="002733DF">
        <w:rPr>
          <w:rFonts w:ascii="Times New Roman" w:hAnsi="Times New Roman" w:cs="Times New Roman"/>
          <w:sz w:val="20"/>
          <w:szCs w:val="20"/>
          <w:lang w:val="en-US"/>
        </w:rPr>
        <w:t xml:space="preserve">, is </w:t>
      </w:r>
      <w:r w:rsidR="00F83A0B" w:rsidRPr="002733DF">
        <w:rPr>
          <w:rFonts w:ascii="Times New Roman" w:hAnsi="Times New Roman" w:cs="Times New Roman"/>
          <w:sz w:val="20"/>
          <w:szCs w:val="20"/>
          <w:lang w:val="en-US"/>
        </w:rPr>
        <w:t xml:space="preserve">only </w:t>
      </w:r>
      <w:r w:rsidR="00562B68" w:rsidRPr="002733DF">
        <w:rPr>
          <w:rFonts w:ascii="Times New Roman" w:hAnsi="Times New Roman" w:cs="Times New Roman"/>
          <w:sz w:val="20"/>
          <w:szCs w:val="20"/>
          <w:lang w:val="en-US"/>
        </w:rPr>
        <w:t xml:space="preserve">positive and significant for </w:t>
      </w:r>
      <w:r w:rsidR="00527DDD" w:rsidRPr="002733DF">
        <w:rPr>
          <w:rFonts w:ascii="Times New Roman" w:hAnsi="Times New Roman" w:cs="Times New Roman"/>
          <w:sz w:val="20"/>
          <w:szCs w:val="20"/>
          <w:lang w:val="en-US"/>
        </w:rPr>
        <w:t>Q4</w:t>
      </w:r>
      <w:r w:rsidR="00787B32" w:rsidRPr="002733DF">
        <w:rPr>
          <w:rFonts w:ascii="Times New Roman" w:hAnsi="Times New Roman" w:cs="Times New Roman"/>
          <w:sz w:val="20"/>
          <w:szCs w:val="20"/>
          <w:lang w:val="en-US"/>
        </w:rPr>
        <w:t xml:space="preserve"> a</w:t>
      </w:r>
      <w:r w:rsidR="00F83A0B" w:rsidRPr="002733DF">
        <w:rPr>
          <w:rFonts w:ascii="Times New Roman" w:hAnsi="Times New Roman" w:cs="Times New Roman"/>
          <w:sz w:val="20"/>
          <w:szCs w:val="20"/>
          <w:lang w:val="en-US"/>
        </w:rPr>
        <w:t xml:space="preserve">nd </w:t>
      </w:r>
      <w:r w:rsidR="00527DDD" w:rsidRPr="002733DF">
        <w:rPr>
          <w:rFonts w:ascii="Times New Roman" w:hAnsi="Times New Roman" w:cs="Times New Roman"/>
          <w:sz w:val="20"/>
          <w:szCs w:val="20"/>
          <w:lang w:val="en-US"/>
        </w:rPr>
        <w:t>Q6</w:t>
      </w:r>
      <w:r w:rsidR="00606465" w:rsidRPr="002733DF">
        <w:rPr>
          <w:rFonts w:ascii="Times New Roman" w:hAnsi="Times New Roman" w:cs="Times New Roman"/>
          <w:sz w:val="20"/>
          <w:szCs w:val="20"/>
          <w:lang w:val="en-US"/>
        </w:rPr>
        <w:t xml:space="preserve">. </w:t>
      </w:r>
      <w:r w:rsidR="00F83A0B" w:rsidRPr="002733DF">
        <w:rPr>
          <w:rFonts w:ascii="Times New Roman" w:hAnsi="Times New Roman" w:cs="Times New Roman"/>
          <w:sz w:val="20"/>
          <w:szCs w:val="20"/>
          <w:lang w:val="en-US"/>
        </w:rPr>
        <w:t>Tax education variables (</w:t>
      </w:r>
      <w:proofErr w:type="spellStart"/>
      <w:r w:rsidR="00F83A0B" w:rsidRPr="002733DF">
        <w:rPr>
          <w:rFonts w:ascii="Times New Roman" w:hAnsi="Times New Roman" w:cs="Times New Roman"/>
          <w:sz w:val="20"/>
          <w:szCs w:val="20"/>
          <w:lang w:val="en-US"/>
        </w:rPr>
        <w:t>IntroTax</w:t>
      </w:r>
      <w:proofErr w:type="spellEnd"/>
      <w:r w:rsidR="00F83A0B" w:rsidRPr="002733DF">
        <w:rPr>
          <w:rFonts w:ascii="Times New Roman" w:hAnsi="Times New Roman" w:cs="Times New Roman"/>
          <w:sz w:val="20"/>
          <w:szCs w:val="20"/>
          <w:lang w:val="en-US"/>
        </w:rPr>
        <w:t xml:space="preserve"> or </w:t>
      </w:r>
      <w:proofErr w:type="spellStart"/>
      <w:r w:rsidR="00F83A0B" w:rsidRPr="002733DF">
        <w:rPr>
          <w:rFonts w:ascii="Times New Roman" w:hAnsi="Times New Roman" w:cs="Times New Roman"/>
          <w:sz w:val="20"/>
          <w:szCs w:val="20"/>
          <w:lang w:val="en-US"/>
        </w:rPr>
        <w:t>UpperTax</w:t>
      </w:r>
      <w:proofErr w:type="spellEnd"/>
      <w:r w:rsidR="00F83A0B" w:rsidRPr="002733DF">
        <w:rPr>
          <w:rFonts w:ascii="Times New Roman" w:hAnsi="Times New Roman" w:cs="Times New Roman"/>
          <w:sz w:val="20"/>
          <w:szCs w:val="20"/>
          <w:lang w:val="en-US"/>
        </w:rPr>
        <w:t>) are positive and significant in the majority of the</w:t>
      </w:r>
      <w:r w:rsidR="00786942" w:rsidRPr="002733DF">
        <w:rPr>
          <w:rFonts w:ascii="Times New Roman" w:hAnsi="Times New Roman" w:cs="Times New Roman"/>
          <w:sz w:val="20"/>
          <w:szCs w:val="20"/>
          <w:lang w:val="en-US"/>
        </w:rPr>
        <w:t xml:space="preserve"> </w:t>
      </w:r>
      <w:r w:rsidR="00535FBB" w:rsidRPr="002733DF">
        <w:rPr>
          <w:rFonts w:ascii="Times New Roman" w:hAnsi="Times New Roman" w:cs="Times New Roman"/>
          <w:sz w:val="20"/>
          <w:szCs w:val="20"/>
          <w:lang w:val="en-US"/>
        </w:rPr>
        <w:t>questions</w:t>
      </w:r>
      <w:r w:rsidR="00786942" w:rsidRPr="002733DF">
        <w:rPr>
          <w:rFonts w:ascii="Times New Roman" w:hAnsi="Times New Roman" w:cs="Times New Roman"/>
          <w:sz w:val="20"/>
          <w:szCs w:val="20"/>
          <w:lang w:val="en-US"/>
        </w:rPr>
        <w:t xml:space="preserve">, </w:t>
      </w:r>
      <w:r w:rsidR="00F83A0B" w:rsidRPr="002733DF">
        <w:rPr>
          <w:rFonts w:ascii="Times New Roman" w:hAnsi="Times New Roman" w:cs="Times New Roman"/>
          <w:sz w:val="20"/>
          <w:szCs w:val="20"/>
          <w:lang w:val="en-US"/>
        </w:rPr>
        <w:t>except</w:t>
      </w:r>
      <w:r w:rsidR="00786942" w:rsidRPr="002733DF">
        <w:rPr>
          <w:rFonts w:ascii="Times New Roman" w:hAnsi="Times New Roman" w:cs="Times New Roman"/>
          <w:sz w:val="20"/>
          <w:szCs w:val="20"/>
          <w:lang w:val="en-US"/>
        </w:rPr>
        <w:t xml:space="preserve"> </w:t>
      </w:r>
      <w:r w:rsidR="00FB7816" w:rsidRPr="002733DF">
        <w:rPr>
          <w:rFonts w:ascii="Times New Roman" w:hAnsi="Times New Roman" w:cs="Times New Roman"/>
          <w:sz w:val="20"/>
          <w:szCs w:val="20"/>
          <w:lang w:val="en-US"/>
        </w:rPr>
        <w:t xml:space="preserve">the following: (1) </w:t>
      </w:r>
      <w:r w:rsidR="00786942" w:rsidRPr="002733DF">
        <w:rPr>
          <w:rFonts w:ascii="Times New Roman" w:hAnsi="Times New Roman" w:cs="Times New Roman"/>
          <w:sz w:val="20"/>
          <w:szCs w:val="20"/>
          <w:lang w:val="en-US"/>
        </w:rPr>
        <w:t>those related to</w:t>
      </w:r>
      <w:r w:rsidR="00F83A0B" w:rsidRPr="002733DF">
        <w:rPr>
          <w:rFonts w:ascii="Times New Roman" w:hAnsi="Times New Roman" w:cs="Times New Roman"/>
          <w:sz w:val="20"/>
          <w:szCs w:val="20"/>
          <w:lang w:val="en-US"/>
        </w:rPr>
        <w:t xml:space="preserve"> the deduction of medical expenses</w:t>
      </w:r>
      <w:r w:rsidR="00FB7816" w:rsidRPr="002733DF">
        <w:rPr>
          <w:rFonts w:ascii="Times New Roman" w:hAnsi="Times New Roman" w:cs="Times New Roman"/>
          <w:sz w:val="20"/>
          <w:szCs w:val="20"/>
          <w:lang w:val="en-US"/>
        </w:rPr>
        <w:t xml:space="preserve"> (</w:t>
      </w:r>
      <w:r w:rsidR="00C1675E" w:rsidRPr="002733DF">
        <w:rPr>
          <w:rFonts w:ascii="Times New Roman" w:hAnsi="Times New Roman" w:cs="Times New Roman"/>
          <w:sz w:val="20"/>
          <w:szCs w:val="20"/>
          <w:lang w:val="en-US"/>
        </w:rPr>
        <w:t>Q3)</w:t>
      </w:r>
      <w:r w:rsidR="00FB7816" w:rsidRPr="002733DF">
        <w:rPr>
          <w:rFonts w:ascii="Times New Roman" w:hAnsi="Times New Roman" w:cs="Times New Roman"/>
          <w:sz w:val="20"/>
          <w:szCs w:val="20"/>
          <w:lang w:val="en-US"/>
        </w:rPr>
        <w:t xml:space="preserve">; (2) </w:t>
      </w:r>
      <w:r w:rsidR="00F83A0B" w:rsidRPr="002733DF">
        <w:rPr>
          <w:rFonts w:ascii="Times New Roman" w:hAnsi="Times New Roman" w:cs="Times New Roman"/>
          <w:sz w:val="20"/>
          <w:szCs w:val="20"/>
          <w:lang w:val="en-US"/>
        </w:rPr>
        <w:t xml:space="preserve">the deductibility of </w:t>
      </w:r>
      <w:r w:rsidR="00C81987" w:rsidRPr="002733DF">
        <w:rPr>
          <w:rFonts w:ascii="Times New Roman" w:hAnsi="Times New Roman" w:cs="Times New Roman"/>
          <w:sz w:val="20"/>
          <w:szCs w:val="20"/>
          <w:lang w:val="en-US"/>
        </w:rPr>
        <w:t>car</w:t>
      </w:r>
      <w:r w:rsidR="00FB7816" w:rsidRPr="002733DF">
        <w:rPr>
          <w:rFonts w:ascii="Times New Roman" w:hAnsi="Times New Roman" w:cs="Times New Roman"/>
          <w:sz w:val="20"/>
          <w:szCs w:val="20"/>
          <w:lang w:val="en-US"/>
        </w:rPr>
        <w:t xml:space="preserve"> loan</w:t>
      </w:r>
      <w:r w:rsidR="00C81987" w:rsidRPr="002733DF">
        <w:rPr>
          <w:rFonts w:ascii="Times New Roman" w:hAnsi="Times New Roman" w:cs="Times New Roman"/>
          <w:sz w:val="20"/>
          <w:szCs w:val="20"/>
          <w:lang w:val="en-US"/>
        </w:rPr>
        <w:t xml:space="preserve"> interest</w:t>
      </w:r>
      <w:r w:rsidR="00FB7816" w:rsidRPr="002733DF">
        <w:rPr>
          <w:rFonts w:ascii="Times New Roman" w:hAnsi="Times New Roman" w:cs="Times New Roman"/>
          <w:sz w:val="20"/>
          <w:szCs w:val="20"/>
          <w:lang w:val="en-US"/>
        </w:rPr>
        <w:t>s</w:t>
      </w:r>
      <w:r w:rsidR="00C1675E" w:rsidRPr="002733DF">
        <w:rPr>
          <w:rFonts w:ascii="Times New Roman" w:hAnsi="Times New Roman" w:cs="Times New Roman"/>
          <w:sz w:val="20"/>
          <w:szCs w:val="20"/>
          <w:lang w:val="en-US"/>
        </w:rPr>
        <w:t xml:space="preserve"> (Q4)</w:t>
      </w:r>
      <w:r w:rsidR="00FB7816" w:rsidRPr="002733DF">
        <w:rPr>
          <w:rFonts w:ascii="Times New Roman" w:hAnsi="Times New Roman" w:cs="Times New Roman"/>
          <w:sz w:val="20"/>
          <w:szCs w:val="20"/>
          <w:lang w:val="en-US"/>
        </w:rPr>
        <w:t>; (3) the choice between standard deduction</w:t>
      </w:r>
      <w:r w:rsidR="00C1675E" w:rsidRPr="002733DF">
        <w:rPr>
          <w:rFonts w:ascii="Times New Roman" w:hAnsi="Times New Roman" w:cs="Times New Roman"/>
          <w:sz w:val="20"/>
          <w:szCs w:val="20"/>
          <w:lang w:val="en-US"/>
        </w:rPr>
        <w:t xml:space="preserve"> and itemized deduction (Q8</w:t>
      </w:r>
      <w:r w:rsidR="00FB7816" w:rsidRPr="002733DF">
        <w:rPr>
          <w:rFonts w:ascii="Times New Roman" w:hAnsi="Times New Roman" w:cs="Times New Roman"/>
          <w:sz w:val="20"/>
          <w:szCs w:val="20"/>
          <w:lang w:val="en-US"/>
        </w:rPr>
        <w:t>); (4) calculation of tax liability using the progressive rate schedule (</w:t>
      </w:r>
      <w:r w:rsidR="00C1675E" w:rsidRPr="002733DF">
        <w:rPr>
          <w:rFonts w:ascii="Times New Roman" w:hAnsi="Times New Roman" w:cs="Times New Roman"/>
          <w:sz w:val="20"/>
          <w:szCs w:val="20"/>
          <w:lang w:val="en-US"/>
        </w:rPr>
        <w:t>Q11</w:t>
      </w:r>
      <w:r w:rsidR="00FB7816" w:rsidRPr="002733DF">
        <w:rPr>
          <w:rFonts w:ascii="Times New Roman" w:hAnsi="Times New Roman" w:cs="Times New Roman"/>
          <w:sz w:val="20"/>
          <w:szCs w:val="20"/>
          <w:lang w:val="en-US"/>
        </w:rPr>
        <w:t xml:space="preserve">); (5) tax rate on dividends </w:t>
      </w:r>
      <w:r w:rsidR="00C1675E" w:rsidRPr="002733DF">
        <w:rPr>
          <w:rFonts w:ascii="Times New Roman" w:hAnsi="Times New Roman" w:cs="Times New Roman"/>
          <w:sz w:val="20"/>
          <w:szCs w:val="20"/>
          <w:lang w:val="en-US"/>
        </w:rPr>
        <w:t xml:space="preserve">(Q13) </w:t>
      </w:r>
      <w:r w:rsidR="00FB7816" w:rsidRPr="002733DF">
        <w:rPr>
          <w:rFonts w:ascii="Times New Roman" w:hAnsi="Times New Roman" w:cs="Times New Roman"/>
          <w:sz w:val="20"/>
          <w:szCs w:val="20"/>
          <w:lang w:val="en-US"/>
        </w:rPr>
        <w:t xml:space="preserve">and </w:t>
      </w:r>
      <w:r w:rsidR="00C81987" w:rsidRPr="002733DF">
        <w:rPr>
          <w:rFonts w:ascii="Times New Roman" w:hAnsi="Times New Roman" w:cs="Times New Roman"/>
          <w:sz w:val="20"/>
          <w:szCs w:val="20"/>
          <w:lang w:val="en-US"/>
        </w:rPr>
        <w:t xml:space="preserve">(6) </w:t>
      </w:r>
      <w:r w:rsidR="00FB7816" w:rsidRPr="002733DF">
        <w:rPr>
          <w:rFonts w:ascii="Times New Roman" w:hAnsi="Times New Roman" w:cs="Times New Roman"/>
          <w:sz w:val="20"/>
          <w:szCs w:val="20"/>
          <w:lang w:val="en-US"/>
        </w:rPr>
        <w:t>the choice between tax deduction and ta</w:t>
      </w:r>
      <w:r w:rsidR="000A0465" w:rsidRPr="002733DF">
        <w:rPr>
          <w:rFonts w:ascii="Times New Roman" w:hAnsi="Times New Roman" w:cs="Times New Roman"/>
          <w:sz w:val="20"/>
          <w:szCs w:val="20"/>
          <w:lang w:val="en-US"/>
        </w:rPr>
        <w:t>x</w:t>
      </w:r>
      <w:r w:rsidR="00FB7816" w:rsidRPr="002733DF">
        <w:rPr>
          <w:rFonts w:ascii="Times New Roman" w:hAnsi="Times New Roman" w:cs="Times New Roman"/>
          <w:sz w:val="20"/>
          <w:szCs w:val="20"/>
          <w:lang w:val="en-US"/>
        </w:rPr>
        <w:t xml:space="preserve"> credit</w:t>
      </w:r>
      <w:r w:rsidR="00C1675E" w:rsidRPr="002733DF">
        <w:rPr>
          <w:rFonts w:ascii="Times New Roman" w:hAnsi="Times New Roman" w:cs="Times New Roman"/>
          <w:sz w:val="20"/>
          <w:szCs w:val="20"/>
          <w:lang w:val="en-US"/>
        </w:rPr>
        <w:t xml:space="preserve"> (Q14)</w:t>
      </w:r>
      <w:r w:rsidR="00FB7816" w:rsidRPr="002733DF">
        <w:rPr>
          <w:rFonts w:ascii="Times New Roman" w:hAnsi="Times New Roman" w:cs="Times New Roman"/>
          <w:sz w:val="20"/>
          <w:szCs w:val="20"/>
          <w:lang w:val="en-US"/>
        </w:rPr>
        <w:t xml:space="preserve">. </w:t>
      </w:r>
      <w:r w:rsidR="004471D6" w:rsidRPr="002733DF">
        <w:rPr>
          <w:rFonts w:ascii="Times New Roman" w:hAnsi="Times New Roman" w:cs="Times New Roman"/>
          <w:sz w:val="20"/>
          <w:szCs w:val="20"/>
          <w:lang w:val="en-US"/>
        </w:rPr>
        <w:t>Tax return filing experience</w:t>
      </w:r>
      <w:r w:rsidR="00FB7816" w:rsidRPr="002733DF">
        <w:rPr>
          <w:rFonts w:ascii="Times New Roman" w:hAnsi="Times New Roman" w:cs="Times New Roman"/>
          <w:sz w:val="20"/>
          <w:szCs w:val="20"/>
          <w:lang w:val="en-US"/>
        </w:rPr>
        <w:t xml:space="preserve"> </w:t>
      </w:r>
      <w:r w:rsidR="004471D6" w:rsidRPr="002733DF">
        <w:rPr>
          <w:rFonts w:ascii="Times New Roman" w:hAnsi="Times New Roman" w:cs="Times New Roman"/>
          <w:sz w:val="20"/>
          <w:szCs w:val="20"/>
          <w:lang w:val="en-US"/>
        </w:rPr>
        <w:t xml:space="preserve">is only positive and significant in </w:t>
      </w:r>
      <w:r w:rsidR="00C1675E" w:rsidRPr="002733DF">
        <w:rPr>
          <w:rFonts w:ascii="Times New Roman" w:hAnsi="Times New Roman" w:cs="Times New Roman"/>
          <w:sz w:val="20"/>
          <w:szCs w:val="20"/>
          <w:lang w:val="en-US"/>
        </w:rPr>
        <w:t xml:space="preserve">Q5 and Q12, while </w:t>
      </w:r>
      <w:r w:rsidR="0070438A" w:rsidRPr="002733DF">
        <w:rPr>
          <w:rFonts w:ascii="Times New Roman" w:hAnsi="Times New Roman" w:cs="Times New Roman"/>
          <w:sz w:val="20"/>
          <w:szCs w:val="20"/>
          <w:lang w:val="en-US"/>
        </w:rPr>
        <w:t xml:space="preserve">the coefficients for </w:t>
      </w:r>
      <w:r w:rsidR="00C1675E" w:rsidRPr="002733DF">
        <w:rPr>
          <w:rFonts w:ascii="Times New Roman" w:hAnsi="Times New Roman" w:cs="Times New Roman"/>
          <w:sz w:val="20"/>
          <w:szCs w:val="20"/>
          <w:lang w:val="en-US"/>
        </w:rPr>
        <w:t xml:space="preserve">tax education </w:t>
      </w:r>
      <w:r w:rsidR="0070438A" w:rsidRPr="002733DF">
        <w:rPr>
          <w:rFonts w:ascii="Times New Roman" w:hAnsi="Times New Roman" w:cs="Times New Roman"/>
          <w:sz w:val="20"/>
          <w:szCs w:val="20"/>
          <w:lang w:val="en-US"/>
        </w:rPr>
        <w:t>are</w:t>
      </w:r>
      <w:r w:rsidR="00C1675E" w:rsidRPr="002733DF">
        <w:rPr>
          <w:rFonts w:ascii="Times New Roman" w:hAnsi="Times New Roman" w:cs="Times New Roman"/>
          <w:sz w:val="20"/>
          <w:szCs w:val="20"/>
          <w:lang w:val="en-US"/>
        </w:rPr>
        <w:t xml:space="preserve"> </w:t>
      </w:r>
      <w:r w:rsidR="0070438A" w:rsidRPr="002733DF">
        <w:rPr>
          <w:rFonts w:ascii="Times New Roman" w:hAnsi="Times New Roman" w:cs="Times New Roman"/>
          <w:sz w:val="20"/>
          <w:szCs w:val="20"/>
          <w:lang w:val="en-US"/>
        </w:rPr>
        <w:t xml:space="preserve">also </w:t>
      </w:r>
      <w:r w:rsidR="00C1675E" w:rsidRPr="002733DF">
        <w:rPr>
          <w:rFonts w:ascii="Times New Roman" w:hAnsi="Times New Roman" w:cs="Times New Roman"/>
          <w:sz w:val="20"/>
          <w:szCs w:val="20"/>
          <w:lang w:val="en-US"/>
        </w:rPr>
        <w:t>positive and significant in these two columns</w:t>
      </w:r>
      <w:r w:rsidR="004471D6" w:rsidRPr="002733DF">
        <w:rPr>
          <w:rFonts w:ascii="Times New Roman" w:hAnsi="Times New Roman" w:cs="Times New Roman"/>
          <w:sz w:val="20"/>
          <w:szCs w:val="20"/>
          <w:lang w:val="en-US"/>
        </w:rPr>
        <w:t xml:space="preserve">. Interestingly, the coefficients for </w:t>
      </w:r>
      <w:proofErr w:type="spellStart"/>
      <w:r w:rsidR="004471D6" w:rsidRPr="002733DF">
        <w:rPr>
          <w:rFonts w:ascii="Times New Roman" w:hAnsi="Times New Roman" w:cs="Times New Roman"/>
          <w:i/>
          <w:sz w:val="20"/>
          <w:szCs w:val="20"/>
          <w:lang w:val="en-US"/>
        </w:rPr>
        <w:t>FinExp</w:t>
      </w:r>
      <w:proofErr w:type="spellEnd"/>
      <w:r w:rsidR="004471D6" w:rsidRPr="002733DF">
        <w:rPr>
          <w:rFonts w:ascii="Times New Roman" w:hAnsi="Times New Roman" w:cs="Times New Roman"/>
          <w:sz w:val="20"/>
          <w:szCs w:val="20"/>
          <w:lang w:val="en-US"/>
        </w:rPr>
        <w:t xml:space="preserve"> are positive and at least weakly significant in eight of the 14 TQs, especially in </w:t>
      </w:r>
      <w:r w:rsidR="00C1675E" w:rsidRPr="002733DF">
        <w:rPr>
          <w:rFonts w:ascii="Times New Roman" w:hAnsi="Times New Roman" w:cs="Times New Roman"/>
          <w:sz w:val="20"/>
          <w:szCs w:val="20"/>
          <w:lang w:val="en-US"/>
        </w:rPr>
        <w:t>Q5, Q10, Q13, and Q14</w:t>
      </w:r>
      <w:r w:rsidR="004471D6" w:rsidRPr="002733DF">
        <w:rPr>
          <w:rFonts w:ascii="Times New Roman" w:hAnsi="Times New Roman" w:cs="Times New Roman"/>
          <w:sz w:val="20"/>
          <w:szCs w:val="20"/>
          <w:lang w:val="en-US"/>
        </w:rPr>
        <w:t>, columns that tax education variables are not significant. As such, respondents’ financial experience</w:t>
      </w:r>
      <w:r w:rsidR="000A0465" w:rsidRPr="002733DF">
        <w:rPr>
          <w:rFonts w:ascii="Times New Roman" w:hAnsi="Times New Roman" w:cs="Times New Roman"/>
          <w:sz w:val="20"/>
          <w:szCs w:val="20"/>
          <w:lang w:val="en-US"/>
        </w:rPr>
        <w:t>s</w:t>
      </w:r>
      <w:r w:rsidR="004471D6" w:rsidRPr="002733DF">
        <w:rPr>
          <w:rFonts w:ascii="Times New Roman" w:hAnsi="Times New Roman" w:cs="Times New Roman"/>
          <w:sz w:val="20"/>
          <w:szCs w:val="20"/>
          <w:lang w:val="en-US"/>
        </w:rPr>
        <w:t xml:space="preserve"> seem to be helpful in filling the gap of their tax literacy.</w:t>
      </w:r>
      <w:r w:rsidR="002733DF">
        <w:rPr>
          <w:rFonts w:ascii="Times New Roman" w:hAnsi="Times New Roman" w:cs="Times New Roman"/>
          <w:sz w:val="20"/>
          <w:szCs w:val="20"/>
          <w:lang w:val="en-US"/>
        </w:rPr>
        <w:t xml:space="preserve">  </w:t>
      </w:r>
    </w:p>
    <w:p w14:paraId="6964DDE7" w14:textId="77777777" w:rsidR="002733DF" w:rsidRPr="002733DF" w:rsidRDefault="002733DF" w:rsidP="00C45D4F">
      <w:pPr>
        <w:rPr>
          <w:rFonts w:ascii="Times New Roman" w:hAnsi="Times New Roman" w:cs="Times New Roman"/>
          <w:sz w:val="20"/>
          <w:szCs w:val="20"/>
          <w:lang w:val="en-US"/>
        </w:rPr>
      </w:pPr>
    </w:p>
    <w:p w14:paraId="3397D600" w14:textId="785D3592" w:rsidR="00A211D5" w:rsidRPr="002733DF" w:rsidRDefault="00A211D5" w:rsidP="00C45D4F">
      <w:pPr>
        <w:rPr>
          <w:rFonts w:ascii="Times New Roman" w:hAnsi="Times New Roman" w:cs="Times New Roman"/>
          <w:sz w:val="20"/>
          <w:szCs w:val="20"/>
          <w:lang w:val="en-US"/>
        </w:rPr>
      </w:pPr>
      <w:r w:rsidRPr="002733DF">
        <w:rPr>
          <w:rFonts w:ascii="Times New Roman" w:hAnsi="Times New Roman" w:cs="Times New Roman"/>
          <w:sz w:val="20"/>
          <w:szCs w:val="20"/>
          <w:lang w:val="en-US"/>
        </w:rPr>
        <w:t xml:space="preserve">Overall, the findings in Table </w:t>
      </w:r>
      <w:r w:rsidR="00814576" w:rsidRPr="002733DF">
        <w:rPr>
          <w:rFonts w:ascii="Times New Roman" w:hAnsi="Times New Roman" w:cs="Times New Roman"/>
          <w:sz w:val="20"/>
          <w:szCs w:val="20"/>
          <w:lang w:val="en-US"/>
        </w:rPr>
        <w:t>10</w:t>
      </w:r>
      <w:r w:rsidRPr="002733DF">
        <w:rPr>
          <w:rFonts w:ascii="Times New Roman" w:hAnsi="Times New Roman" w:cs="Times New Roman"/>
          <w:sz w:val="20"/>
          <w:szCs w:val="20"/>
          <w:lang w:val="en-US"/>
        </w:rPr>
        <w:t xml:space="preserve"> </w:t>
      </w:r>
      <w:r w:rsidR="00BD2AB6" w:rsidRPr="002733DF">
        <w:rPr>
          <w:rFonts w:ascii="Times New Roman" w:hAnsi="Times New Roman" w:cs="Times New Roman"/>
          <w:sz w:val="20"/>
          <w:szCs w:val="20"/>
          <w:lang w:val="en-US"/>
        </w:rPr>
        <w:t>reveal</w:t>
      </w:r>
      <w:r w:rsidRPr="002733DF">
        <w:rPr>
          <w:rFonts w:ascii="Times New Roman" w:hAnsi="Times New Roman" w:cs="Times New Roman"/>
          <w:sz w:val="20"/>
          <w:szCs w:val="20"/>
          <w:lang w:val="en-US"/>
        </w:rPr>
        <w:t xml:space="preserve"> </w:t>
      </w:r>
      <w:r w:rsidR="00D22A67" w:rsidRPr="002733DF">
        <w:rPr>
          <w:rFonts w:ascii="Times New Roman" w:hAnsi="Times New Roman" w:cs="Times New Roman"/>
          <w:sz w:val="20"/>
          <w:szCs w:val="20"/>
          <w:lang w:val="en-US"/>
        </w:rPr>
        <w:t>the importance of</w:t>
      </w:r>
      <w:r w:rsidR="006C2F32" w:rsidRPr="002733DF">
        <w:rPr>
          <w:rFonts w:ascii="Times New Roman" w:hAnsi="Times New Roman" w:cs="Times New Roman"/>
          <w:sz w:val="20"/>
          <w:szCs w:val="20"/>
          <w:lang w:val="en-US"/>
        </w:rPr>
        <w:t xml:space="preserve"> </w:t>
      </w:r>
      <w:r w:rsidR="006D5DBD" w:rsidRPr="002733DF">
        <w:rPr>
          <w:rFonts w:ascii="Times New Roman" w:hAnsi="Times New Roman" w:cs="Times New Roman"/>
          <w:sz w:val="20"/>
          <w:szCs w:val="20"/>
          <w:lang w:val="en-US"/>
        </w:rPr>
        <w:t>financial experience</w:t>
      </w:r>
      <w:r w:rsidR="00D22A67" w:rsidRPr="002733DF">
        <w:rPr>
          <w:rFonts w:ascii="Times New Roman" w:hAnsi="Times New Roman" w:cs="Times New Roman"/>
          <w:sz w:val="20"/>
          <w:szCs w:val="20"/>
          <w:lang w:val="en-US"/>
        </w:rPr>
        <w:t xml:space="preserve"> in students’ tax literacy</w:t>
      </w:r>
      <w:r w:rsidRPr="002733DF">
        <w:rPr>
          <w:rFonts w:ascii="Times New Roman" w:hAnsi="Times New Roman" w:cs="Times New Roman"/>
          <w:sz w:val="20"/>
          <w:szCs w:val="20"/>
          <w:lang w:val="en-US"/>
        </w:rPr>
        <w:t xml:space="preserve">. </w:t>
      </w:r>
      <w:r w:rsidR="00BD2AB6" w:rsidRPr="002733DF">
        <w:rPr>
          <w:rFonts w:ascii="Times New Roman" w:hAnsi="Times New Roman" w:cs="Times New Roman"/>
          <w:sz w:val="20"/>
          <w:szCs w:val="20"/>
          <w:lang w:val="en-US"/>
        </w:rPr>
        <w:t>As such,</w:t>
      </w:r>
      <w:r w:rsidR="00265299" w:rsidRPr="002733DF">
        <w:rPr>
          <w:rFonts w:ascii="Times New Roman" w:hAnsi="Times New Roman" w:cs="Times New Roman"/>
          <w:sz w:val="20"/>
          <w:szCs w:val="20"/>
          <w:lang w:val="en-US"/>
        </w:rPr>
        <w:t xml:space="preserve"> to improve students</w:t>
      </w:r>
      <w:r w:rsidR="00B0757D" w:rsidRPr="002733DF">
        <w:rPr>
          <w:rFonts w:ascii="Times New Roman" w:hAnsi="Times New Roman" w:cs="Times New Roman"/>
          <w:sz w:val="20"/>
          <w:szCs w:val="20"/>
          <w:lang w:val="en-US"/>
        </w:rPr>
        <w:t>’</w:t>
      </w:r>
      <w:r w:rsidR="00265299" w:rsidRPr="002733DF">
        <w:rPr>
          <w:rFonts w:ascii="Times New Roman" w:hAnsi="Times New Roman" w:cs="Times New Roman"/>
          <w:sz w:val="20"/>
          <w:szCs w:val="20"/>
          <w:lang w:val="en-US"/>
        </w:rPr>
        <w:t xml:space="preserve"> tax literacy, </w:t>
      </w:r>
      <w:r w:rsidR="00CB6665" w:rsidRPr="002733DF">
        <w:rPr>
          <w:rFonts w:ascii="Times New Roman" w:hAnsi="Times New Roman" w:cs="Times New Roman"/>
          <w:sz w:val="20"/>
          <w:szCs w:val="20"/>
          <w:lang w:val="en-US"/>
        </w:rPr>
        <w:t xml:space="preserve">the </w:t>
      </w:r>
      <w:r w:rsidRPr="002733DF">
        <w:rPr>
          <w:rFonts w:ascii="Times New Roman" w:hAnsi="Times New Roman" w:cs="Times New Roman"/>
          <w:sz w:val="20"/>
          <w:szCs w:val="20"/>
          <w:lang w:val="en-US"/>
        </w:rPr>
        <w:t>tax curriculum should e</w:t>
      </w:r>
      <w:r w:rsidR="00814C2C" w:rsidRPr="002733DF">
        <w:rPr>
          <w:rFonts w:ascii="Times New Roman" w:hAnsi="Times New Roman" w:cs="Times New Roman"/>
          <w:sz w:val="20"/>
          <w:szCs w:val="20"/>
          <w:lang w:val="en-US"/>
        </w:rPr>
        <w:t>mphasize real-life transactions, as financial experience seem</w:t>
      </w:r>
      <w:r w:rsidR="00EE5347" w:rsidRPr="002733DF">
        <w:rPr>
          <w:rFonts w:ascii="Times New Roman" w:hAnsi="Times New Roman" w:cs="Times New Roman"/>
          <w:sz w:val="20"/>
          <w:szCs w:val="20"/>
          <w:lang w:val="en-US"/>
        </w:rPr>
        <w:t>s</w:t>
      </w:r>
      <w:r w:rsidR="00814C2C" w:rsidRPr="002733DF">
        <w:rPr>
          <w:rFonts w:ascii="Times New Roman" w:hAnsi="Times New Roman" w:cs="Times New Roman"/>
          <w:sz w:val="20"/>
          <w:szCs w:val="20"/>
          <w:lang w:val="en-US"/>
        </w:rPr>
        <w:t xml:space="preserve"> to make up some of the knowledge that </w:t>
      </w:r>
      <w:r w:rsidR="00186842" w:rsidRPr="002733DF">
        <w:rPr>
          <w:rFonts w:ascii="Times New Roman" w:hAnsi="Times New Roman" w:cs="Times New Roman"/>
          <w:sz w:val="20"/>
          <w:szCs w:val="20"/>
          <w:lang w:val="en-US"/>
        </w:rPr>
        <w:t>students fail to retain from</w:t>
      </w:r>
      <w:r w:rsidR="00814C2C" w:rsidRPr="002733DF">
        <w:rPr>
          <w:rFonts w:ascii="Times New Roman" w:hAnsi="Times New Roman" w:cs="Times New Roman"/>
          <w:sz w:val="20"/>
          <w:szCs w:val="20"/>
          <w:lang w:val="en-US"/>
        </w:rPr>
        <w:t xml:space="preserve"> tax education.</w:t>
      </w:r>
      <w:r w:rsidR="002733DF">
        <w:rPr>
          <w:rFonts w:ascii="Times New Roman" w:hAnsi="Times New Roman" w:cs="Times New Roman"/>
          <w:sz w:val="20"/>
          <w:szCs w:val="20"/>
          <w:lang w:val="en-US"/>
        </w:rPr>
        <w:t xml:space="preserve">  </w:t>
      </w:r>
    </w:p>
    <w:p w14:paraId="409DDEC3" w14:textId="77777777" w:rsidR="00637B74" w:rsidRPr="002733DF" w:rsidRDefault="00637B74" w:rsidP="00C45D4F">
      <w:pPr>
        <w:rPr>
          <w:rFonts w:ascii="Times New Roman" w:hAnsi="Times New Roman" w:cs="Times New Roman"/>
          <w:sz w:val="20"/>
          <w:szCs w:val="20"/>
          <w:lang w:val="en-US"/>
        </w:rPr>
      </w:pPr>
    </w:p>
    <w:p w14:paraId="2D26ED08" w14:textId="7F0E0EE0" w:rsidR="009C558A" w:rsidRDefault="009C558A" w:rsidP="00C45D4F">
      <w:pPr>
        <w:rPr>
          <w:rFonts w:ascii="Times New Roman" w:hAnsi="Times New Roman" w:cs="Times New Roman"/>
          <w:b/>
          <w:sz w:val="20"/>
          <w:szCs w:val="20"/>
          <w:lang w:val="en-US"/>
        </w:rPr>
      </w:pPr>
      <w:r w:rsidRPr="002733DF">
        <w:rPr>
          <w:rFonts w:ascii="Times New Roman" w:hAnsi="Times New Roman" w:cs="Times New Roman"/>
          <w:b/>
          <w:sz w:val="20"/>
          <w:szCs w:val="20"/>
          <w:lang w:val="en-US"/>
        </w:rPr>
        <w:t xml:space="preserve">Discussion </w:t>
      </w:r>
      <w:r w:rsidR="00A9379D" w:rsidRPr="002733DF">
        <w:rPr>
          <w:rFonts w:ascii="Times New Roman" w:hAnsi="Times New Roman" w:cs="Times New Roman"/>
          <w:b/>
          <w:sz w:val="20"/>
          <w:szCs w:val="20"/>
          <w:lang w:val="en-US"/>
        </w:rPr>
        <w:t>a</w:t>
      </w:r>
      <w:r w:rsidR="005C14D2" w:rsidRPr="002733DF">
        <w:rPr>
          <w:rFonts w:ascii="Times New Roman" w:hAnsi="Times New Roman" w:cs="Times New Roman"/>
          <w:b/>
          <w:sz w:val="20"/>
          <w:szCs w:val="20"/>
          <w:lang w:val="en-US"/>
        </w:rPr>
        <w:t>nd Policy Recommendations</w:t>
      </w:r>
    </w:p>
    <w:p w14:paraId="27F16D90" w14:textId="77777777" w:rsidR="002733DF" w:rsidRDefault="002733DF" w:rsidP="00C45D4F">
      <w:pPr>
        <w:rPr>
          <w:rFonts w:ascii="Times New Roman" w:hAnsi="Times New Roman" w:cs="Times New Roman"/>
          <w:b/>
          <w:sz w:val="20"/>
          <w:szCs w:val="20"/>
          <w:lang w:val="en-US"/>
        </w:rPr>
      </w:pPr>
    </w:p>
    <w:p w14:paraId="5B127508" w14:textId="6367EB14" w:rsidR="009C558A" w:rsidRDefault="009C558A" w:rsidP="00C45D4F">
      <w:pPr>
        <w:rPr>
          <w:rFonts w:ascii="Times New Roman" w:eastAsia="Times New Roman" w:hAnsi="Times New Roman" w:cs="Times New Roman"/>
          <w:sz w:val="20"/>
          <w:szCs w:val="20"/>
          <w:lang w:val="en-US"/>
        </w:rPr>
      </w:pPr>
      <w:r w:rsidRPr="002733DF">
        <w:rPr>
          <w:rFonts w:ascii="Times New Roman" w:hAnsi="Times New Roman" w:cs="Times New Roman"/>
          <w:sz w:val="20"/>
          <w:szCs w:val="20"/>
          <w:lang w:val="en-US"/>
        </w:rPr>
        <w:t xml:space="preserve">Our study shows that </w:t>
      </w:r>
      <w:r w:rsidR="00114C41" w:rsidRPr="002733DF">
        <w:rPr>
          <w:rFonts w:ascii="Times New Roman" w:hAnsi="Times New Roman" w:cs="Times New Roman"/>
          <w:sz w:val="20"/>
          <w:szCs w:val="20"/>
          <w:lang w:val="en-US"/>
        </w:rPr>
        <w:t>college students</w:t>
      </w:r>
      <w:r w:rsidRPr="002733DF">
        <w:rPr>
          <w:rFonts w:ascii="Times New Roman" w:hAnsi="Times New Roman" w:cs="Times New Roman"/>
          <w:sz w:val="20"/>
          <w:szCs w:val="20"/>
          <w:lang w:val="en-US"/>
        </w:rPr>
        <w:t xml:space="preserve"> are </w:t>
      </w:r>
      <w:r w:rsidR="0050596C" w:rsidRPr="002733DF">
        <w:rPr>
          <w:rFonts w:ascii="Times New Roman" w:hAnsi="Times New Roman" w:cs="Times New Roman"/>
          <w:sz w:val="20"/>
          <w:szCs w:val="20"/>
          <w:lang w:val="en-US"/>
        </w:rPr>
        <w:t>neither</w:t>
      </w:r>
      <w:r w:rsidRPr="002733DF">
        <w:rPr>
          <w:rFonts w:ascii="Times New Roman" w:hAnsi="Times New Roman" w:cs="Times New Roman"/>
          <w:sz w:val="20"/>
          <w:szCs w:val="20"/>
          <w:lang w:val="en-US"/>
        </w:rPr>
        <w:t xml:space="preserve"> tax literate</w:t>
      </w:r>
      <w:r w:rsidR="0050596C" w:rsidRPr="002733DF">
        <w:rPr>
          <w:rFonts w:ascii="Times New Roman" w:hAnsi="Times New Roman" w:cs="Times New Roman"/>
          <w:sz w:val="20"/>
          <w:szCs w:val="20"/>
          <w:lang w:val="en-US"/>
        </w:rPr>
        <w:t xml:space="preserve"> nor</w:t>
      </w:r>
      <w:r w:rsidRPr="002733DF">
        <w:rPr>
          <w:rFonts w:ascii="Times New Roman" w:hAnsi="Times New Roman" w:cs="Times New Roman"/>
          <w:sz w:val="20"/>
          <w:szCs w:val="20"/>
          <w:lang w:val="en-US"/>
        </w:rPr>
        <w:t xml:space="preserve"> confident in dealing with tax matters</w:t>
      </w:r>
      <w:r w:rsidR="00EB3C4E" w:rsidRPr="002733DF">
        <w:rPr>
          <w:rFonts w:ascii="Times New Roman" w:hAnsi="Times New Roman" w:cs="Times New Roman"/>
          <w:sz w:val="20"/>
          <w:szCs w:val="20"/>
          <w:lang w:val="en-US"/>
        </w:rPr>
        <w:t xml:space="preserve">, consistent with </w:t>
      </w:r>
      <w:r w:rsidR="00114C41" w:rsidRPr="002733DF">
        <w:rPr>
          <w:rFonts w:ascii="Times New Roman" w:hAnsi="Times New Roman" w:cs="Times New Roman"/>
          <w:sz w:val="20"/>
          <w:szCs w:val="20"/>
          <w:lang w:val="en-US"/>
        </w:rPr>
        <w:t>the findings</w:t>
      </w:r>
      <w:r w:rsidR="00CA5878" w:rsidRPr="002733DF">
        <w:rPr>
          <w:rFonts w:ascii="Times New Roman" w:hAnsi="Times New Roman" w:cs="Times New Roman"/>
          <w:sz w:val="20"/>
          <w:szCs w:val="20"/>
          <w:lang w:val="en-US"/>
        </w:rPr>
        <w:t xml:space="preserve"> in</w:t>
      </w:r>
      <w:r w:rsidRPr="002733DF">
        <w:rPr>
          <w:rFonts w:ascii="Times New Roman" w:hAnsi="Times New Roman" w:cs="Times New Roman"/>
          <w:sz w:val="20"/>
          <w:szCs w:val="20"/>
          <w:lang w:val="en-US"/>
        </w:rPr>
        <w:t xml:space="preserve"> other countries </w:t>
      </w:r>
      <w:r w:rsidR="001F79B5" w:rsidRPr="002733DF">
        <w:rPr>
          <w:rFonts w:ascii="Times New Roman" w:eastAsia="Times New Roman" w:hAnsi="Times New Roman" w:cs="Times New Roman"/>
          <w:sz w:val="20"/>
          <w:szCs w:val="20"/>
          <w:lang w:val="en-US"/>
        </w:rPr>
        <w:t>(Latiff et al., 2005;</w:t>
      </w:r>
      <w:r w:rsidRPr="002733DF">
        <w:rPr>
          <w:rFonts w:ascii="Times New Roman" w:eastAsia="Times New Roman" w:hAnsi="Times New Roman" w:cs="Times New Roman"/>
          <w:sz w:val="20"/>
          <w:szCs w:val="20"/>
          <w:lang w:val="en-US"/>
        </w:rPr>
        <w:t xml:space="preserve"> Bhushan and </w:t>
      </w:r>
      <w:proofErr w:type="spellStart"/>
      <w:r w:rsidRPr="002733DF">
        <w:rPr>
          <w:rFonts w:ascii="Times New Roman" w:eastAsia="Times New Roman" w:hAnsi="Times New Roman" w:cs="Times New Roman"/>
          <w:sz w:val="20"/>
          <w:szCs w:val="20"/>
          <w:lang w:val="en-US"/>
        </w:rPr>
        <w:t>Medury</w:t>
      </w:r>
      <w:proofErr w:type="spellEnd"/>
      <w:r w:rsidR="001F79B5" w:rsidRPr="002733DF">
        <w:rPr>
          <w:rFonts w:ascii="Times New Roman" w:eastAsia="Times New Roman" w:hAnsi="Times New Roman" w:cs="Times New Roman"/>
          <w:sz w:val="20"/>
          <w:szCs w:val="20"/>
          <w:lang w:val="en-US"/>
        </w:rPr>
        <w:t>, 2013;</w:t>
      </w:r>
      <w:r w:rsidRPr="002733DF">
        <w:rPr>
          <w:rFonts w:ascii="Times New Roman" w:eastAsia="Times New Roman" w:hAnsi="Times New Roman" w:cs="Times New Roman"/>
          <w:sz w:val="20"/>
          <w:szCs w:val="20"/>
          <w:lang w:val="en-US"/>
        </w:rPr>
        <w:t xml:space="preserve"> Nichita</w:t>
      </w:r>
      <w:r w:rsidR="001F79B5" w:rsidRPr="002733DF">
        <w:rPr>
          <w:rFonts w:ascii="Times New Roman" w:eastAsia="Times New Roman" w:hAnsi="Times New Roman" w:cs="Times New Roman"/>
          <w:sz w:val="20"/>
          <w:szCs w:val="20"/>
          <w:lang w:val="en-US"/>
        </w:rPr>
        <w:t>, 2015;</w:t>
      </w:r>
      <w:r w:rsidRPr="002733DF">
        <w:rPr>
          <w:rFonts w:ascii="Times New Roman" w:eastAsia="Times New Roman" w:hAnsi="Times New Roman" w:cs="Times New Roman"/>
          <w:sz w:val="20"/>
          <w:szCs w:val="20"/>
          <w:lang w:val="en-US"/>
        </w:rPr>
        <w:t xml:space="preserve"> Chardon et al.</w:t>
      </w:r>
      <w:r w:rsidR="001F79B5" w:rsidRPr="002733DF">
        <w:rPr>
          <w:rFonts w:ascii="Times New Roman" w:eastAsia="Times New Roman" w:hAnsi="Times New Roman" w:cs="Times New Roman"/>
          <w:sz w:val="20"/>
          <w:szCs w:val="20"/>
          <w:lang w:val="en-US"/>
        </w:rPr>
        <w:t>, 2016;</w:t>
      </w:r>
      <w:r w:rsidRPr="002733DF">
        <w:rPr>
          <w:rFonts w:ascii="Times New Roman" w:eastAsia="Times New Roman" w:hAnsi="Times New Roman" w:cs="Times New Roman"/>
          <w:sz w:val="20"/>
          <w:szCs w:val="20"/>
          <w:lang w:val="en-US"/>
        </w:rPr>
        <w:t xml:space="preserve"> </w:t>
      </w:r>
      <w:proofErr w:type="spellStart"/>
      <w:r w:rsidRPr="002733DF">
        <w:rPr>
          <w:rFonts w:ascii="Times New Roman" w:eastAsia="Times New Roman" w:hAnsi="Times New Roman" w:cs="Times New Roman"/>
          <w:sz w:val="20"/>
          <w:szCs w:val="20"/>
          <w:lang w:val="en-US"/>
        </w:rPr>
        <w:t>Cecovsky</w:t>
      </w:r>
      <w:proofErr w:type="spellEnd"/>
      <w:r w:rsidRPr="002733DF">
        <w:rPr>
          <w:rFonts w:ascii="Times New Roman" w:eastAsia="Times New Roman" w:hAnsi="Times New Roman" w:cs="Times New Roman"/>
          <w:sz w:val="20"/>
          <w:szCs w:val="20"/>
          <w:lang w:val="en-US"/>
        </w:rPr>
        <w:t xml:space="preserve">, 2018). </w:t>
      </w:r>
      <w:r w:rsidR="00E54B5A" w:rsidRPr="002733DF">
        <w:rPr>
          <w:rFonts w:ascii="Times New Roman" w:eastAsia="Times New Roman" w:hAnsi="Times New Roman" w:cs="Times New Roman"/>
          <w:sz w:val="20"/>
          <w:szCs w:val="20"/>
          <w:lang w:val="en-US"/>
        </w:rPr>
        <w:t>W</w:t>
      </w:r>
      <w:r w:rsidR="0050596C" w:rsidRPr="002733DF">
        <w:rPr>
          <w:rFonts w:ascii="Times New Roman" w:eastAsia="Times New Roman" w:hAnsi="Times New Roman" w:cs="Times New Roman"/>
          <w:sz w:val="20"/>
          <w:szCs w:val="20"/>
          <w:lang w:val="en-US"/>
        </w:rPr>
        <w:t xml:space="preserve">e </w:t>
      </w:r>
      <w:r w:rsidR="00E54B5A" w:rsidRPr="002733DF">
        <w:rPr>
          <w:rFonts w:ascii="Times New Roman" w:eastAsia="Times New Roman" w:hAnsi="Times New Roman" w:cs="Times New Roman"/>
          <w:sz w:val="20"/>
          <w:szCs w:val="20"/>
          <w:lang w:val="en-US"/>
        </w:rPr>
        <w:t>also</w:t>
      </w:r>
      <w:r w:rsidR="0050596C" w:rsidRPr="002733DF">
        <w:rPr>
          <w:rFonts w:ascii="Times New Roman" w:eastAsia="Times New Roman" w:hAnsi="Times New Roman" w:cs="Times New Roman"/>
          <w:sz w:val="20"/>
          <w:szCs w:val="20"/>
          <w:lang w:val="en-US"/>
        </w:rPr>
        <w:t xml:space="preserve"> </w:t>
      </w:r>
      <w:r w:rsidR="00437C7F" w:rsidRPr="002733DF">
        <w:rPr>
          <w:rFonts w:ascii="Times New Roman" w:eastAsia="Times New Roman" w:hAnsi="Times New Roman" w:cs="Times New Roman"/>
          <w:sz w:val="20"/>
          <w:szCs w:val="20"/>
          <w:lang w:val="en-US"/>
        </w:rPr>
        <w:t xml:space="preserve">find </w:t>
      </w:r>
      <w:r w:rsidR="0050596C" w:rsidRPr="002733DF">
        <w:rPr>
          <w:rFonts w:ascii="Times New Roman" w:eastAsia="Times New Roman" w:hAnsi="Times New Roman" w:cs="Times New Roman"/>
          <w:sz w:val="20"/>
          <w:szCs w:val="20"/>
          <w:lang w:val="en-US"/>
        </w:rPr>
        <w:t xml:space="preserve">that </w:t>
      </w:r>
      <w:r w:rsidR="009309A8" w:rsidRPr="002733DF">
        <w:rPr>
          <w:rFonts w:ascii="Times New Roman" w:eastAsia="Times New Roman" w:hAnsi="Times New Roman" w:cs="Times New Roman"/>
          <w:sz w:val="20"/>
          <w:szCs w:val="20"/>
          <w:lang w:val="en-US"/>
        </w:rPr>
        <w:t xml:space="preserve">financial literacy and </w:t>
      </w:r>
      <w:r w:rsidR="0050596C" w:rsidRPr="002733DF">
        <w:rPr>
          <w:rFonts w:ascii="Times New Roman" w:eastAsia="Times New Roman" w:hAnsi="Times New Roman" w:cs="Times New Roman"/>
          <w:sz w:val="20"/>
          <w:szCs w:val="20"/>
          <w:lang w:val="en-US"/>
        </w:rPr>
        <w:t>financial experience</w:t>
      </w:r>
      <w:r w:rsidR="000A0465" w:rsidRPr="002733DF">
        <w:rPr>
          <w:rFonts w:ascii="Times New Roman" w:eastAsia="Times New Roman" w:hAnsi="Times New Roman" w:cs="Times New Roman"/>
          <w:sz w:val="20"/>
          <w:szCs w:val="20"/>
          <w:lang w:val="en-US"/>
        </w:rPr>
        <w:t>s</w:t>
      </w:r>
      <w:r w:rsidR="00CB6665" w:rsidRPr="002733DF">
        <w:rPr>
          <w:rFonts w:ascii="Times New Roman" w:eastAsia="Times New Roman" w:hAnsi="Times New Roman" w:cs="Times New Roman"/>
          <w:sz w:val="20"/>
          <w:szCs w:val="20"/>
          <w:lang w:val="en-US"/>
        </w:rPr>
        <w:t>,</w:t>
      </w:r>
      <w:r w:rsidR="0050596C" w:rsidRPr="002733DF">
        <w:rPr>
          <w:rFonts w:ascii="Times New Roman" w:eastAsia="Times New Roman" w:hAnsi="Times New Roman" w:cs="Times New Roman"/>
          <w:sz w:val="20"/>
          <w:szCs w:val="20"/>
          <w:lang w:val="en-US"/>
        </w:rPr>
        <w:t xml:space="preserve"> such as owning a credit card</w:t>
      </w:r>
      <w:r w:rsidR="009A080D" w:rsidRPr="002733DF">
        <w:rPr>
          <w:rFonts w:ascii="Times New Roman" w:eastAsia="Times New Roman" w:hAnsi="Times New Roman" w:cs="Times New Roman"/>
          <w:sz w:val="20"/>
          <w:szCs w:val="20"/>
          <w:lang w:val="en-US"/>
        </w:rPr>
        <w:t xml:space="preserve"> and</w:t>
      </w:r>
      <w:r w:rsidR="0050596C" w:rsidRPr="002733DF">
        <w:rPr>
          <w:rFonts w:ascii="Times New Roman" w:eastAsia="Times New Roman" w:hAnsi="Times New Roman" w:cs="Times New Roman"/>
          <w:sz w:val="20"/>
          <w:szCs w:val="20"/>
          <w:lang w:val="en-US"/>
        </w:rPr>
        <w:t xml:space="preserve"> </w:t>
      </w:r>
      <w:r w:rsidR="0063379D" w:rsidRPr="002733DF">
        <w:rPr>
          <w:rFonts w:ascii="Times New Roman" w:eastAsia="Times New Roman" w:hAnsi="Times New Roman" w:cs="Times New Roman"/>
          <w:sz w:val="20"/>
          <w:szCs w:val="20"/>
          <w:lang w:val="en-US"/>
        </w:rPr>
        <w:t xml:space="preserve">having </w:t>
      </w:r>
      <w:r w:rsidR="0050596C" w:rsidRPr="002733DF">
        <w:rPr>
          <w:rFonts w:ascii="Times New Roman" w:eastAsia="Times New Roman" w:hAnsi="Times New Roman" w:cs="Times New Roman"/>
          <w:sz w:val="20"/>
          <w:szCs w:val="20"/>
          <w:lang w:val="en-US"/>
        </w:rPr>
        <w:t xml:space="preserve">a </w:t>
      </w:r>
      <w:r w:rsidR="00C967E3" w:rsidRPr="002733DF">
        <w:rPr>
          <w:rFonts w:ascii="Times New Roman" w:eastAsia="Times New Roman" w:hAnsi="Times New Roman" w:cs="Times New Roman"/>
          <w:sz w:val="20"/>
          <w:szCs w:val="20"/>
          <w:lang w:val="en-US"/>
        </w:rPr>
        <w:t>bank</w:t>
      </w:r>
      <w:r w:rsidR="0050596C" w:rsidRPr="002733DF">
        <w:rPr>
          <w:rFonts w:ascii="Times New Roman" w:eastAsia="Times New Roman" w:hAnsi="Times New Roman" w:cs="Times New Roman"/>
          <w:sz w:val="20"/>
          <w:szCs w:val="20"/>
          <w:lang w:val="en-US"/>
        </w:rPr>
        <w:t xml:space="preserve"> account</w:t>
      </w:r>
      <w:r w:rsidR="008135B1" w:rsidRPr="002733DF">
        <w:rPr>
          <w:rFonts w:ascii="Times New Roman" w:eastAsia="Times New Roman" w:hAnsi="Times New Roman" w:cs="Times New Roman"/>
          <w:sz w:val="20"/>
          <w:szCs w:val="20"/>
          <w:lang w:val="en-US"/>
        </w:rPr>
        <w:t>,</w:t>
      </w:r>
      <w:r w:rsidR="009309A8" w:rsidRPr="002733DF">
        <w:rPr>
          <w:rFonts w:ascii="Times New Roman" w:eastAsia="Times New Roman" w:hAnsi="Times New Roman" w:cs="Times New Roman"/>
          <w:sz w:val="20"/>
          <w:szCs w:val="20"/>
          <w:lang w:val="en-US"/>
        </w:rPr>
        <w:t xml:space="preserve"> are associated with students’ tax literacy</w:t>
      </w:r>
      <w:r w:rsidR="0050596C" w:rsidRPr="002733DF">
        <w:rPr>
          <w:rFonts w:ascii="Times New Roman" w:eastAsia="Times New Roman" w:hAnsi="Times New Roman" w:cs="Times New Roman"/>
          <w:sz w:val="20"/>
          <w:szCs w:val="20"/>
          <w:lang w:val="en-US"/>
        </w:rPr>
        <w:t xml:space="preserve">. </w:t>
      </w:r>
      <w:r w:rsidR="0021799A" w:rsidRPr="002733DF">
        <w:rPr>
          <w:rFonts w:ascii="Times New Roman" w:eastAsia="Times New Roman" w:hAnsi="Times New Roman" w:cs="Times New Roman"/>
          <w:sz w:val="20"/>
          <w:szCs w:val="20"/>
          <w:lang w:val="en-US"/>
        </w:rPr>
        <w:t>Moreover, actual return-filing experience help</w:t>
      </w:r>
      <w:r w:rsidR="00CB6665" w:rsidRPr="002733DF">
        <w:rPr>
          <w:rFonts w:ascii="Times New Roman" w:eastAsia="Times New Roman" w:hAnsi="Times New Roman" w:cs="Times New Roman"/>
          <w:sz w:val="20"/>
          <w:szCs w:val="20"/>
          <w:lang w:val="en-US"/>
        </w:rPr>
        <w:t>s</w:t>
      </w:r>
      <w:r w:rsidR="0021799A" w:rsidRPr="002733DF">
        <w:rPr>
          <w:rFonts w:ascii="Times New Roman" w:eastAsia="Times New Roman" w:hAnsi="Times New Roman" w:cs="Times New Roman"/>
          <w:sz w:val="20"/>
          <w:szCs w:val="20"/>
          <w:lang w:val="en-US"/>
        </w:rPr>
        <w:t xml:space="preserve"> students </w:t>
      </w:r>
      <w:r w:rsidR="000A0465" w:rsidRPr="002733DF">
        <w:rPr>
          <w:rFonts w:ascii="Times New Roman" w:eastAsia="Times New Roman" w:hAnsi="Times New Roman" w:cs="Times New Roman"/>
          <w:sz w:val="20"/>
          <w:szCs w:val="20"/>
          <w:lang w:val="en-US"/>
        </w:rPr>
        <w:t>who have not taken tax courses to gain tax knowledge, but such effect is weak for students who have taken tax courses. Regardless of having tax education or not, tax return-fi</w:t>
      </w:r>
      <w:r w:rsidR="00D0581C" w:rsidRPr="002733DF">
        <w:rPr>
          <w:rFonts w:ascii="Times New Roman" w:eastAsia="Times New Roman" w:hAnsi="Times New Roman" w:cs="Times New Roman"/>
          <w:sz w:val="20"/>
          <w:szCs w:val="20"/>
          <w:lang w:val="en-US"/>
        </w:rPr>
        <w:t>li</w:t>
      </w:r>
      <w:r w:rsidR="000A0465" w:rsidRPr="002733DF">
        <w:rPr>
          <w:rFonts w:ascii="Times New Roman" w:eastAsia="Times New Roman" w:hAnsi="Times New Roman" w:cs="Times New Roman"/>
          <w:sz w:val="20"/>
          <w:szCs w:val="20"/>
          <w:lang w:val="en-US"/>
        </w:rPr>
        <w:t>ng experiences help students to</w:t>
      </w:r>
      <w:r w:rsidR="00CB6665" w:rsidRPr="002733DF">
        <w:rPr>
          <w:rFonts w:ascii="Times New Roman" w:eastAsia="Times New Roman" w:hAnsi="Times New Roman" w:cs="Times New Roman"/>
          <w:sz w:val="20"/>
          <w:szCs w:val="20"/>
          <w:lang w:val="en-US"/>
        </w:rPr>
        <w:t xml:space="preserve"> </w:t>
      </w:r>
      <w:r w:rsidR="0021799A" w:rsidRPr="002733DF">
        <w:rPr>
          <w:rFonts w:ascii="Times New Roman" w:eastAsia="Times New Roman" w:hAnsi="Times New Roman" w:cs="Times New Roman"/>
          <w:sz w:val="20"/>
          <w:szCs w:val="20"/>
          <w:lang w:val="en-US"/>
        </w:rPr>
        <w:t>gain confidence in their tax knowledge</w:t>
      </w:r>
      <w:r w:rsidR="000A0465" w:rsidRPr="002733DF">
        <w:rPr>
          <w:rFonts w:ascii="Times New Roman" w:eastAsia="Times New Roman" w:hAnsi="Times New Roman" w:cs="Times New Roman"/>
          <w:sz w:val="20"/>
          <w:szCs w:val="20"/>
          <w:lang w:val="en-US"/>
        </w:rPr>
        <w:t>, as s</w:t>
      </w:r>
      <w:r w:rsidR="0021799A" w:rsidRPr="002733DF">
        <w:rPr>
          <w:rFonts w:ascii="Times New Roman" w:eastAsia="Times New Roman" w:hAnsi="Times New Roman" w:cs="Times New Roman"/>
          <w:sz w:val="20"/>
          <w:szCs w:val="20"/>
          <w:lang w:val="en-US"/>
        </w:rPr>
        <w:t xml:space="preserve">tudents who have filed </w:t>
      </w:r>
      <w:r w:rsidR="00CA5878" w:rsidRPr="002733DF">
        <w:rPr>
          <w:rFonts w:ascii="Times New Roman" w:eastAsia="Times New Roman" w:hAnsi="Times New Roman" w:cs="Times New Roman"/>
          <w:sz w:val="20"/>
          <w:szCs w:val="20"/>
          <w:lang w:val="en-US"/>
        </w:rPr>
        <w:t>tax</w:t>
      </w:r>
      <w:r w:rsidR="0021799A" w:rsidRPr="002733DF">
        <w:rPr>
          <w:rFonts w:ascii="Times New Roman" w:eastAsia="Times New Roman" w:hAnsi="Times New Roman" w:cs="Times New Roman"/>
          <w:sz w:val="20"/>
          <w:szCs w:val="20"/>
          <w:lang w:val="en-US"/>
        </w:rPr>
        <w:t xml:space="preserve"> return</w:t>
      </w:r>
      <w:r w:rsidR="00CA5878" w:rsidRPr="002733DF">
        <w:rPr>
          <w:rFonts w:ascii="Times New Roman" w:eastAsia="Times New Roman" w:hAnsi="Times New Roman" w:cs="Times New Roman"/>
          <w:sz w:val="20"/>
          <w:szCs w:val="20"/>
          <w:lang w:val="en-US"/>
        </w:rPr>
        <w:t>s</w:t>
      </w:r>
      <w:r w:rsidR="0021799A" w:rsidRPr="002733DF">
        <w:rPr>
          <w:rFonts w:ascii="Times New Roman" w:eastAsia="Times New Roman" w:hAnsi="Times New Roman" w:cs="Times New Roman"/>
          <w:sz w:val="20"/>
          <w:szCs w:val="20"/>
          <w:lang w:val="en-US"/>
        </w:rPr>
        <w:t xml:space="preserve"> </w:t>
      </w:r>
      <w:r w:rsidR="009B5025" w:rsidRPr="002733DF">
        <w:rPr>
          <w:rFonts w:ascii="Times New Roman" w:eastAsia="Times New Roman" w:hAnsi="Times New Roman" w:cs="Times New Roman"/>
          <w:sz w:val="20"/>
          <w:szCs w:val="20"/>
          <w:lang w:val="en-US"/>
        </w:rPr>
        <w:t xml:space="preserve">do </w:t>
      </w:r>
      <w:r w:rsidR="0021799A" w:rsidRPr="002733DF">
        <w:rPr>
          <w:rFonts w:ascii="Times New Roman" w:eastAsia="Times New Roman" w:hAnsi="Times New Roman" w:cs="Times New Roman"/>
          <w:sz w:val="20"/>
          <w:szCs w:val="20"/>
          <w:lang w:val="en-US"/>
        </w:rPr>
        <w:t xml:space="preserve">not </w:t>
      </w:r>
      <w:r w:rsidR="009B5025" w:rsidRPr="002733DF">
        <w:rPr>
          <w:rFonts w:ascii="Times New Roman" w:eastAsia="Times New Roman" w:hAnsi="Times New Roman" w:cs="Times New Roman"/>
          <w:sz w:val="20"/>
          <w:szCs w:val="20"/>
          <w:lang w:val="en-US"/>
        </w:rPr>
        <w:t xml:space="preserve">seem to be </w:t>
      </w:r>
      <w:r w:rsidR="0021799A" w:rsidRPr="002733DF">
        <w:rPr>
          <w:rFonts w:ascii="Times New Roman" w:eastAsia="Times New Roman" w:hAnsi="Times New Roman" w:cs="Times New Roman"/>
          <w:sz w:val="20"/>
          <w:szCs w:val="20"/>
          <w:lang w:val="en-US"/>
        </w:rPr>
        <w:t>intimidated by the</w:t>
      </w:r>
      <w:r w:rsidR="00114C41" w:rsidRPr="002733DF">
        <w:rPr>
          <w:rFonts w:ascii="Times New Roman" w:eastAsia="Times New Roman" w:hAnsi="Times New Roman" w:cs="Times New Roman"/>
          <w:sz w:val="20"/>
          <w:szCs w:val="20"/>
          <w:lang w:val="en-US"/>
        </w:rPr>
        <w:t xml:space="preserve"> experience </w:t>
      </w:r>
      <w:r w:rsidR="0021799A" w:rsidRPr="002733DF">
        <w:rPr>
          <w:rFonts w:ascii="Times New Roman" w:eastAsia="Times New Roman" w:hAnsi="Times New Roman" w:cs="Times New Roman"/>
          <w:sz w:val="20"/>
          <w:szCs w:val="20"/>
          <w:lang w:val="en-US"/>
        </w:rPr>
        <w:t xml:space="preserve">and believe that they </w:t>
      </w:r>
      <w:r w:rsidR="008833DA" w:rsidRPr="002733DF">
        <w:rPr>
          <w:rFonts w:ascii="Times New Roman" w:eastAsia="Times New Roman" w:hAnsi="Times New Roman" w:cs="Times New Roman"/>
          <w:sz w:val="20"/>
          <w:szCs w:val="20"/>
          <w:lang w:val="en-US"/>
        </w:rPr>
        <w:t xml:space="preserve">have </w:t>
      </w:r>
      <w:r w:rsidR="00114C41" w:rsidRPr="002733DF">
        <w:rPr>
          <w:rFonts w:ascii="Times New Roman" w:eastAsia="Times New Roman" w:hAnsi="Times New Roman" w:cs="Times New Roman"/>
          <w:sz w:val="20"/>
          <w:szCs w:val="20"/>
          <w:lang w:val="en-US"/>
        </w:rPr>
        <w:t xml:space="preserve">gained </w:t>
      </w:r>
      <w:r w:rsidR="00825AC5" w:rsidRPr="002733DF">
        <w:rPr>
          <w:rFonts w:ascii="Times New Roman" w:eastAsia="Times New Roman" w:hAnsi="Times New Roman" w:cs="Times New Roman"/>
          <w:sz w:val="20"/>
          <w:szCs w:val="20"/>
          <w:lang w:val="en-US"/>
        </w:rPr>
        <w:t>tax knowledge</w:t>
      </w:r>
      <w:r w:rsidR="00114C41" w:rsidRPr="002733DF">
        <w:rPr>
          <w:rFonts w:ascii="Times New Roman" w:eastAsia="Times New Roman" w:hAnsi="Times New Roman" w:cs="Times New Roman"/>
          <w:sz w:val="20"/>
          <w:szCs w:val="20"/>
          <w:lang w:val="en-US"/>
        </w:rPr>
        <w:t xml:space="preserve"> from </w:t>
      </w:r>
      <w:r w:rsidR="002F39CC" w:rsidRPr="002733DF">
        <w:rPr>
          <w:rFonts w:ascii="Times New Roman" w:eastAsia="Times New Roman" w:hAnsi="Times New Roman" w:cs="Times New Roman"/>
          <w:sz w:val="20"/>
          <w:szCs w:val="20"/>
          <w:lang w:val="en-US"/>
        </w:rPr>
        <w:t>it</w:t>
      </w:r>
      <w:r w:rsidR="0021799A" w:rsidRPr="002733DF">
        <w:rPr>
          <w:rFonts w:ascii="Times New Roman" w:eastAsia="Times New Roman" w:hAnsi="Times New Roman" w:cs="Times New Roman"/>
          <w:sz w:val="20"/>
          <w:szCs w:val="20"/>
          <w:lang w:val="en-US"/>
        </w:rPr>
        <w:t xml:space="preserve">. </w:t>
      </w:r>
      <w:r w:rsidR="00E10B60" w:rsidRPr="002733DF">
        <w:rPr>
          <w:rFonts w:ascii="Times New Roman" w:eastAsia="Times New Roman" w:hAnsi="Times New Roman" w:cs="Times New Roman"/>
          <w:sz w:val="20"/>
          <w:szCs w:val="20"/>
          <w:lang w:val="en-US"/>
        </w:rPr>
        <w:t xml:space="preserve">In addition, tax confidence </w:t>
      </w:r>
      <w:r w:rsidR="009309A8" w:rsidRPr="002733DF">
        <w:rPr>
          <w:rFonts w:ascii="Times New Roman" w:eastAsia="Times New Roman" w:hAnsi="Times New Roman" w:cs="Times New Roman"/>
          <w:sz w:val="20"/>
          <w:szCs w:val="20"/>
          <w:lang w:val="en-US"/>
        </w:rPr>
        <w:t>i</w:t>
      </w:r>
      <w:r w:rsidR="002F39CC" w:rsidRPr="002733DF">
        <w:rPr>
          <w:rFonts w:ascii="Times New Roman" w:eastAsia="Times New Roman" w:hAnsi="Times New Roman" w:cs="Times New Roman"/>
          <w:sz w:val="20"/>
          <w:szCs w:val="20"/>
          <w:lang w:val="en-US"/>
        </w:rPr>
        <w:t xml:space="preserve">s </w:t>
      </w:r>
      <w:r w:rsidR="00E10B60" w:rsidRPr="002733DF">
        <w:rPr>
          <w:rFonts w:ascii="Times New Roman" w:eastAsia="Times New Roman" w:hAnsi="Times New Roman" w:cs="Times New Roman"/>
          <w:sz w:val="20"/>
          <w:szCs w:val="20"/>
          <w:lang w:val="en-US"/>
        </w:rPr>
        <w:t xml:space="preserve">positively associated with tax literacy </w:t>
      </w:r>
      <w:r w:rsidR="00E54B5A" w:rsidRPr="002733DF">
        <w:rPr>
          <w:rFonts w:ascii="Times New Roman" w:eastAsia="Times New Roman" w:hAnsi="Times New Roman" w:cs="Times New Roman"/>
          <w:sz w:val="20"/>
          <w:szCs w:val="20"/>
          <w:lang w:val="en-US"/>
        </w:rPr>
        <w:t>levels</w:t>
      </w:r>
      <w:r w:rsidR="008135B1" w:rsidRPr="002733DF">
        <w:rPr>
          <w:rFonts w:ascii="Times New Roman" w:eastAsia="Times New Roman" w:hAnsi="Times New Roman" w:cs="Times New Roman"/>
          <w:sz w:val="20"/>
          <w:szCs w:val="20"/>
          <w:lang w:val="en-US"/>
        </w:rPr>
        <w:t>,</w:t>
      </w:r>
      <w:r w:rsidR="00E54B5A" w:rsidRPr="002733DF">
        <w:rPr>
          <w:rFonts w:ascii="Times New Roman" w:eastAsia="Times New Roman" w:hAnsi="Times New Roman" w:cs="Times New Roman"/>
          <w:sz w:val="20"/>
          <w:szCs w:val="20"/>
          <w:lang w:val="en-US"/>
        </w:rPr>
        <w:t xml:space="preserve"> </w:t>
      </w:r>
      <w:r w:rsidR="00972C76" w:rsidRPr="002733DF">
        <w:rPr>
          <w:rFonts w:ascii="Times New Roman" w:eastAsia="Times New Roman" w:hAnsi="Times New Roman" w:cs="Times New Roman"/>
          <w:sz w:val="20"/>
          <w:szCs w:val="20"/>
          <w:lang w:val="en-US"/>
        </w:rPr>
        <w:t xml:space="preserve">after controlling for </w:t>
      </w:r>
      <w:r w:rsidR="0063379D" w:rsidRPr="002733DF">
        <w:rPr>
          <w:rFonts w:ascii="Times New Roman" w:eastAsia="Times New Roman" w:hAnsi="Times New Roman" w:cs="Times New Roman"/>
          <w:sz w:val="20"/>
          <w:szCs w:val="20"/>
          <w:lang w:val="en-US"/>
        </w:rPr>
        <w:t>o</w:t>
      </w:r>
      <w:r w:rsidR="00972C76" w:rsidRPr="002733DF">
        <w:rPr>
          <w:rFonts w:ascii="Times New Roman" w:eastAsia="Times New Roman" w:hAnsi="Times New Roman" w:cs="Times New Roman"/>
          <w:sz w:val="20"/>
          <w:szCs w:val="20"/>
          <w:lang w:val="en-US"/>
        </w:rPr>
        <w:t>the</w:t>
      </w:r>
      <w:r w:rsidR="0063379D" w:rsidRPr="002733DF">
        <w:rPr>
          <w:rFonts w:ascii="Times New Roman" w:eastAsia="Times New Roman" w:hAnsi="Times New Roman" w:cs="Times New Roman"/>
          <w:sz w:val="20"/>
          <w:szCs w:val="20"/>
          <w:lang w:val="en-US"/>
        </w:rPr>
        <w:t>r</w:t>
      </w:r>
      <w:r w:rsidR="00972C76" w:rsidRPr="002733DF">
        <w:rPr>
          <w:rFonts w:ascii="Times New Roman" w:eastAsia="Times New Roman" w:hAnsi="Times New Roman" w:cs="Times New Roman"/>
          <w:sz w:val="20"/>
          <w:szCs w:val="20"/>
          <w:lang w:val="en-US"/>
        </w:rPr>
        <w:t xml:space="preserve"> socio-economic factors</w:t>
      </w:r>
      <w:r w:rsidR="0016100F" w:rsidRPr="002733DF">
        <w:rPr>
          <w:rFonts w:ascii="Times New Roman" w:eastAsia="Times New Roman" w:hAnsi="Times New Roman" w:cs="Times New Roman"/>
          <w:sz w:val="20"/>
          <w:szCs w:val="20"/>
          <w:lang w:val="en-US"/>
        </w:rPr>
        <w:t>,</w:t>
      </w:r>
      <w:r w:rsidR="00972C76" w:rsidRPr="002733DF">
        <w:rPr>
          <w:rFonts w:ascii="Times New Roman" w:eastAsia="Times New Roman" w:hAnsi="Times New Roman" w:cs="Times New Roman"/>
          <w:sz w:val="20"/>
          <w:szCs w:val="20"/>
          <w:lang w:val="en-US"/>
        </w:rPr>
        <w:t xml:space="preserve"> </w:t>
      </w:r>
      <w:r w:rsidR="00E10B60" w:rsidRPr="002733DF">
        <w:rPr>
          <w:rFonts w:ascii="Times New Roman" w:eastAsia="Times New Roman" w:hAnsi="Times New Roman" w:cs="Times New Roman"/>
          <w:sz w:val="20"/>
          <w:szCs w:val="20"/>
          <w:lang w:val="en-US"/>
        </w:rPr>
        <w:t>suggest</w:t>
      </w:r>
      <w:r w:rsidR="0016100F" w:rsidRPr="002733DF">
        <w:rPr>
          <w:rFonts w:ascii="Times New Roman" w:eastAsia="Times New Roman" w:hAnsi="Times New Roman" w:cs="Times New Roman"/>
          <w:sz w:val="20"/>
          <w:szCs w:val="20"/>
          <w:lang w:val="en-US"/>
        </w:rPr>
        <w:t>ing</w:t>
      </w:r>
      <w:r w:rsidR="00E10B60" w:rsidRPr="002733DF">
        <w:rPr>
          <w:rFonts w:ascii="Times New Roman" w:eastAsia="Times New Roman" w:hAnsi="Times New Roman" w:cs="Times New Roman"/>
          <w:sz w:val="20"/>
          <w:szCs w:val="20"/>
          <w:lang w:val="en-US"/>
        </w:rPr>
        <w:t xml:space="preserve"> that </w:t>
      </w:r>
      <w:r w:rsidR="009A003A" w:rsidRPr="002733DF">
        <w:rPr>
          <w:rFonts w:ascii="Times New Roman" w:eastAsia="Times New Roman" w:hAnsi="Times New Roman" w:cs="Times New Roman"/>
          <w:sz w:val="20"/>
          <w:szCs w:val="20"/>
          <w:lang w:val="en-US"/>
        </w:rPr>
        <w:t xml:space="preserve">when students are </w:t>
      </w:r>
      <w:r w:rsidR="00E10B60" w:rsidRPr="002733DF">
        <w:rPr>
          <w:rFonts w:ascii="Times New Roman" w:eastAsia="Times New Roman" w:hAnsi="Times New Roman" w:cs="Times New Roman"/>
          <w:sz w:val="20"/>
          <w:szCs w:val="20"/>
          <w:lang w:val="en-US"/>
        </w:rPr>
        <w:t xml:space="preserve">more </w:t>
      </w:r>
      <w:r w:rsidR="009A003A" w:rsidRPr="002733DF">
        <w:rPr>
          <w:rFonts w:ascii="Times New Roman" w:eastAsia="Times New Roman" w:hAnsi="Times New Roman" w:cs="Times New Roman"/>
          <w:sz w:val="20"/>
          <w:szCs w:val="20"/>
          <w:lang w:val="en-US"/>
        </w:rPr>
        <w:t xml:space="preserve">tax literate, they </w:t>
      </w:r>
      <w:r w:rsidR="00972C76" w:rsidRPr="002733DF">
        <w:rPr>
          <w:rFonts w:ascii="Times New Roman" w:eastAsia="Times New Roman" w:hAnsi="Times New Roman" w:cs="Times New Roman"/>
          <w:sz w:val="20"/>
          <w:szCs w:val="20"/>
          <w:lang w:val="en-US"/>
        </w:rPr>
        <w:t>are</w:t>
      </w:r>
      <w:r w:rsidR="009A003A" w:rsidRPr="002733DF">
        <w:rPr>
          <w:rFonts w:ascii="Times New Roman" w:eastAsia="Times New Roman" w:hAnsi="Times New Roman" w:cs="Times New Roman"/>
          <w:sz w:val="20"/>
          <w:szCs w:val="20"/>
          <w:lang w:val="en-US"/>
        </w:rPr>
        <w:t xml:space="preserve"> more confident in their ability to handle tax matters</w:t>
      </w:r>
      <w:r w:rsidR="00E10B60" w:rsidRPr="002733DF">
        <w:rPr>
          <w:rFonts w:ascii="Times New Roman" w:eastAsia="Times New Roman" w:hAnsi="Times New Roman" w:cs="Times New Roman"/>
          <w:sz w:val="20"/>
          <w:szCs w:val="20"/>
          <w:lang w:val="en-US"/>
        </w:rPr>
        <w:t>.</w:t>
      </w:r>
      <w:r w:rsidR="002733DF">
        <w:rPr>
          <w:rFonts w:ascii="Times New Roman" w:eastAsia="Times New Roman" w:hAnsi="Times New Roman" w:cs="Times New Roman"/>
          <w:sz w:val="20"/>
          <w:szCs w:val="20"/>
          <w:lang w:val="en-US"/>
        </w:rPr>
        <w:t xml:space="preserve">  </w:t>
      </w:r>
    </w:p>
    <w:p w14:paraId="18868DD7" w14:textId="77777777" w:rsidR="002733DF" w:rsidRPr="002733DF" w:rsidRDefault="002733DF" w:rsidP="00C45D4F">
      <w:pPr>
        <w:rPr>
          <w:rFonts w:ascii="Times New Roman" w:eastAsia="Times New Roman" w:hAnsi="Times New Roman" w:cs="Times New Roman"/>
          <w:sz w:val="20"/>
          <w:szCs w:val="20"/>
          <w:lang w:val="en-US"/>
        </w:rPr>
      </w:pPr>
    </w:p>
    <w:p w14:paraId="5AD16337" w14:textId="44A0CC4B" w:rsidR="00CD6D2A" w:rsidRDefault="0063379D" w:rsidP="00C45D4F">
      <w:pPr>
        <w:rPr>
          <w:rFonts w:ascii="Times New Roman" w:hAnsi="Times New Roman" w:cs="Times New Roman"/>
          <w:sz w:val="20"/>
          <w:szCs w:val="20"/>
          <w:lang w:val="en-US"/>
        </w:rPr>
      </w:pPr>
      <w:r w:rsidRPr="002733DF">
        <w:rPr>
          <w:rFonts w:ascii="Times New Roman" w:hAnsi="Times New Roman" w:cs="Times New Roman"/>
          <w:sz w:val="20"/>
          <w:szCs w:val="20"/>
          <w:lang w:val="en-US"/>
        </w:rPr>
        <w:t xml:space="preserve">Furthermore, </w:t>
      </w:r>
      <w:r w:rsidR="00972C76" w:rsidRPr="002733DF">
        <w:rPr>
          <w:rFonts w:ascii="Times New Roman" w:hAnsi="Times New Roman" w:cs="Times New Roman"/>
          <w:sz w:val="20"/>
          <w:szCs w:val="20"/>
          <w:lang w:val="en-US"/>
        </w:rPr>
        <w:t xml:space="preserve">non-tax accounting courses seem to have </w:t>
      </w:r>
      <w:r w:rsidR="00B87B32" w:rsidRPr="002733DF">
        <w:rPr>
          <w:rFonts w:ascii="Times New Roman" w:hAnsi="Times New Roman" w:cs="Times New Roman"/>
          <w:sz w:val="20"/>
          <w:szCs w:val="20"/>
          <w:lang w:val="en-US"/>
        </w:rPr>
        <w:t>little</w:t>
      </w:r>
      <w:r w:rsidR="00972C76" w:rsidRPr="002733DF">
        <w:rPr>
          <w:rFonts w:ascii="Times New Roman" w:hAnsi="Times New Roman" w:cs="Times New Roman"/>
          <w:sz w:val="20"/>
          <w:szCs w:val="20"/>
          <w:lang w:val="en-US"/>
        </w:rPr>
        <w:t xml:space="preserve"> effect on students’ tax </w:t>
      </w:r>
      <w:r w:rsidR="009309A8" w:rsidRPr="002733DF">
        <w:rPr>
          <w:rFonts w:ascii="Times New Roman" w:hAnsi="Times New Roman" w:cs="Times New Roman"/>
          <w:sz w:val="20"/>
          <w:szCs w:val="20"/>
          <w:lang w:val="en-US"/>
        </w:rPr>
        <w:t>literacy or</w:t>
      </w:r>
      <w:r w:rsidR="0088314F" w:rsidRPr="002733DF">
        <w:rPr>
          <w:rFonts w:ascii="Times New Roman" w:hAnsi="Times New Roman" w:cs="Times New Roman"/>
          <w:sz w:val="20"/>
          <w:szCs w:val="20"/>
          <w:lang w:val="en-US"/>
        </w:rPr>
        <w:t xml:space="preserve"> tax confidence</w:t>
      </w:r>
      <w:r w:rsidR="00F25CD2" w:rsidRPr="002733DF">
        <w:rPr>
          <w:rFonts w:ascii="Times New Roman" w:hAnsi="Times New Roman" w:cs="Times New Roman"/>
          <w:sz w:val="20"/>
          <w:szCs w:val="20"/>
          <w:lang w:val="en-US"/>
        </w:rPr>
        <w:t>.</w:t>
      </w:r>
      <w:r w:rsidR="00972C76" w:rsidRPr="002733DF">
        <w:rPr>
          <w:rFonts w:ascii="Times New Roman" w:hAnsi="Times New Roman" w:cs="Times New Roman"/>
          <w:sz w:val="20"/>
          <w:szCs w:val="20"/>
          <w:lang w:val="en-US"/>
        </w:rPr>
        <w:t xml:space="preserve"> </w:t>
      </w:r>
      <w:r w:rsidR="008135B1" w:rsidRPr="002733DF">
        <w:rPr>
          <w:rFonts w:ascii="Times New Roman" w:hAnsi="Times New Roman" w:cs="Times New Roman"/>
          <w:sz w:val="20"/>
          <w:szCs w:val="20"/>
          <w:lang w:val="en-US"/>
        </w:rPr>
        <w:t xml:space="preserve">This </w:t>
      </w:r>
      <w:r w:rsidR="00F25CD2" w:rsidRPr="002733DF">
        <w:rPr>
          <w:rFonts w:ascii="Times New Roman" w:hAnsi="Times New Roman" w:cs="Times New Roman"/>
          <w:sz w:val="20"/>
          <w:szCs w:val="20"/>
          <w:lang w:val="en-US"/>
        </w:rPr>
        <w:t>result</w:t>
      </w:r>
      <w:r w:rsidR="0088314F" w:rsidRPr="002733DF">
        <w:rPr>
          <w:rFonts w:ascii="Times New Roman" w:hAnsi="Times New Roman" w:cs="Times New Roman"/>
          <w:sz w:val="20"/>
          <w:szCs w:val="20"/>
          <w:lang w:val="en-US"/>
        </w:rPr>
        <w:t xml:space="preserve"> </w:t>
      </w:r>
      <w:r w:rsidR="008135B1" w:rsidRPr="002733DF">
        <w:rPr>
          <w:rFonts w:ascii="Times New Roman" w:hAnsi="Times New Roman" w:cs="Times New Roman"/>
          <w:sz w:val="20"/>
          <w:szCs w:val="20"/>
          <w:lang w:val="en-US"/>
        </w:rPr>
        <w:t xml:space="preserve">implies </w:t>
      </w:r>
      <w:r w:rsidR="0088314F" w:rsidRPr="002733DF">
        <w:rPr>
          <w:rFonts w:ascii="Times New Roman" w:hAnsi="Times New Roman" w:cs="Times New Roman"/>
          <w:sz w:val="20"/>
          <w:szCs w:val="20"/>
          <w:lang w:val="en-US"/>
        </w:rPr>
        <w:t xml:space="preserve">that business students who </w:t>
      </w:r>
      <w:r w:rsidRPr="002733DF">
        <w:rPr>
          <w:rFonts w:ascii="Times New Roman" w:hAnsi="Times New Roman" w:cs="Times New Roman"/>
          <w:sz w:val="20"/>
          <w:szCs w:val="20"/>
          <w:lang w:val="en-US"/>
        </w:rPr>
        <w:t xml:space="preserve">only </w:t>
      </w:r>
      <w:r w:rsidR="0088314F" w:rsidRPr="002733DF">
        <w:rPr>
          <w:rFonts w:ascii="Times New Roman" w:hAnsi="Times New Roman" w:cs="Times New Roman"/>
          <w:sz w:val="20"/>
          <w:szCs w:val="20"/>
          <w:lang w:val="en-US"/>
        </w:rPr>
        <w:t>tak</w:t>
      </w:r>
      <w:r w:rsidR="00F25CD2" w:rsidRPr="002733DF">
        <w:rPr>
          <w:rFonts w:ascii="Times New Roman" w:hAnsi="Times New Roman" w:cs="Times New Roman"/>
          <w:sz w:val="20"/>
          <w:szCs w:val="20"/>
          <w:lang w:val="en-US"/>
        </w:rPr>
        <w:t>e</w:t>
      </w:r>
      <w:r w:rsidR="0088314F" w:rsidRPr="002733DF">
        <w:rPr>
          <w:rFonts w:ascii="Times New Roman" w:hAnsi="Times New Roman" w:cs="Times New Roman"/>
          <w:sz w:val="20"/>
          <w:szCs w:val="20"/>
          <w:lang w:val="en-US"/>
        </w:rPr>
        <w:t xml:space="preserve"> </w:t>
      </w:r>
      <w:r w:rsidRPr="002733DF">
        <w:rPr>
          <w:rFonts w:ascii="Times New Roman" w:hAnsi="Times New Roman" w:cs="Times New Roman"/>
          <w:sz w:val="20"/>
          <w:szCs w:val="20"/>
          <w:lang w:val="en-US"/>
        </w:rPr>
        <w:t>introductory</w:t>
      </w:r>
      <w:r w:rsidR="001942DB" w:rsidRPr="002733DF">
        <w:rPr>
          <w:rFonts w:ascii="Times New Roman" w:hAnsi="Times New Roman" w:cs="Times New Roman"/>
          <w:sz w:val="20"/>
          <w:szCs w:val="20"/>
          <w:lang w:val="en-US"/>
        </w:rPr>
        <w:t xml:space="preserve"> </w:t>
      </w:r>
      <w:r w:rsidR="0088314F" w:rsidRPr="002733DF">
        <w:rPr>
          <w:rFonts w:ascii="Times New Roman" w:hAnsi="Times New Roman" w:cs="Times New Roman"/>
          <w:sz w:val="20"/>
          <w:szCs w:val="20"/>
          <w:lang w:val="en-US"/>
        </w:rPr>
        <w:t xml:space="preserve">accounting courses do not </w:t>
      </w:r>
      <w:r w:rsidR="006C54F3" w:rsidRPr="002733DF">
        <w:rPr>
          <w:rFonts w:ascii="Times New Roman" w:hAnsi="Times New Roman" w:cs="Times New Roman"/>
          <w:sz w:val="20"/>
          <w:szCs w:val="20"/>
          <w:lang w:val="en-US"/>
        </w:rPr>
        <w:t xml:space="preserve">learn </w:t>
      </w:r>
      <w:r w:rsidRPr="002733DF">
        <w:rPr>
          <w:rFonts w:ascii="Times New Roman" w:hAnsi="Times New Roman" w:cs="Times New Roman"/>
          <w:sz w:val="20"/>
          <w:szCs w:val="20"/>
          <w:lang w:val="en-US"/>
        </w:rPr>
        <w:t xml:space="preserve">enough </w:t>
      </w:r>
      <w:r w:rsidR="00F25CD2" w:rsidRPr="002733DF">
        <w:rPr>
          <w:rFonts w:ascii="Times New Roman" w:hAnsi="Times New Roman" w:cs="Times New Roman"/>
          <w:sz w:val="20"/>
          <w:szCs w:val="20"/>
          <w:lang w:val="en-US"/>
        </w:rPr>
        <w:t>basic tax concepts</w:t>
      </w:r>
      <w:r w:rsidR="00CD6D2A" w:rsidRPr="002733DF">
        <w:rPr>
          <w:rFonts w:ascii="Times New Roman" w:hAnsi="Times New Roman" w:cs="Times New Roman"/>
          <w:sz w:val="20"/>
          <w:szCs w:val="20"/>
          <w:lang w:val="en-US"/>
        </w:rPr>
        <w:t xml:space="preserve">, and </w:t>
      </w:r>
      <w:r w:rsidR="005576E6" w:rsidRPr="002733DF">
        <w:rPr>
          <w:rFonts w:ascii="Times New Roman" w:hAnsi="Times New Roman" w:cs="Times New Roman"/>
          <w:sz w:val="20"/>
          <w:szCs w:val="20"/>
          <w:lang w:val="en-US"/>
        </w:rPr>
        <w:t>the training they receive in business school</w:t>
      </w:r>
      <w:r w:rsidR="001C5011" w:rsidRPr="002733DF">
        <w:rPr>
          <w:rFonts w:ascii="Times New Roman" w:hAnsi="Times New Roman" w:cs="Times New Roman"/>
          <w:sz w:val="20"/>
          <w:szCs w:val="20"/>
          <w:lang w:val="en-US"/>
        </w:rPr>
        <w:t>s</w:t>
      </w:r>
      <w:r w:rsidR="005576E6" w:rsidRPr="002733DF">
        <w:rPr>
          <w:rFonts w:ascii="Times New Roman" w:hAnsi="Times New Roman" w:cs="Times New Roman"/>
          <w:sz w:val="20"/>
          <w:szCs w:val="20"/>
          <w:lang w:val="en-US"/>
        </w:rPr>
        <w:t xml:space="preserve"> </w:t>
      </w:r>
      <w:r w:rsidR="000129D1" w:rsidRPr="002733DF">
        <w:rPr>
          <w:rFonts w:ascii="Times New Roman" w:hAnsi="Times New Roman" w:cs="Times New Roman"/>
          <w:sz w:val="20"/>
          <w:szCs w:val="20"/>
          <w:lang w:val="en-US"/>
        </w:rPr>
        <w:t xml:space="preserve">therefore </w:t>
      </w:r>
      <w:r w:rsidR="005576E6" w:rsidRPr="002733DF">
        <w:rPr>
          <w:rFonts w:ascii="Times New Roman" w:hAnsi="Times New Roman" w:cs="Times New Roman"/>
          <w:sz w:val="20"/>
          <w:szCs w:val="20"/>
          <w:lang w:val="en-US"/>
        </w:rPr>
        <w:t>do</w:t>
      </w:r>
      <w:r w:rsidR="000129D1" w:rsidRPr="002733DF">
        <w:rPr>
          <w:rFonts w:ascii="Times New Roman" w:hAnsi="Times New Roman" w:cs="Times New Roman"/>
          <w:sz w:val="20"/>
          <w:szCs w:val="20"/>
          <w:lang w:val="en-US"/>
        </w:rPr>
        <w:t>es</w:t>
      </w:r>
      <w:r w:rsidR="005576E6" w:rsidRPr="002733DF">
        <w:rPr>
          <w:rFonts w:ascii="Times New Roman" w:hAnsi="Times New Roman" w:cs="Times New Roman"/>
          <w:sz w:val="20"/>
          <w:szCs w:val="20"/>
          <w:lang w:val="en-US"/>
        </w:rPr>
        <w:t xml:space="preserve"> not </w:t>
      </w:r>
      <w:r w:rsidR="000129D1" w:rsidRPr="002733DF">
        <w:rPr>
          <w:rFonts w:ascii="Times New Roman" w:hAnsi="Times New Roman" w:cs="Times New Roman"/>
          <w:sz w:val="20"/>
          <w:szCs w:val="20"/>
          <w:lang w:val="en-US"/>
        </w:rPr>
        <w:t xml:space="preserve">improve their </w:t>
      </w:r>
      <w:r w:rsidR="005576E6" w:rsidRPr="002733DF">
        <w:rPr>
          <w:rFonts w:ascii="Times New Roman" w:hAnsi="Times New Roman" w:cs="Times New Roman"/>
          <w:sz w:val="20"/>
          <w:szCs w:val="20"/>
          <w:lang w:val="en-US"/>
        </w:rPr>
        <w:t xml:space="preserve">tax literacy </w:t>
      </w:r>
      <w:r w:rsidR="009309A8" w:rsidRPr="002733DF">
        <w:rPr>
          <w:rFonts w:ascii="Times New Roman" w:hAnsi="Times New Roman" w:cs="Times New Roman"/>
          <w:sz w:val="20"/>
          <w:szCs w:val="20"/>
          <w:lang w:val="en-US"/>
        </w:rPr>
        <w:t>or make them more confident in taxes</w:t>
      </w:r>
      <w:r w:rsidR="0088314F" w:rsidRPr="002733DF">
        <w:rPr>
          <w:rFonts w:ascii="Times New Roman" w:hAnsi="Times New Roman" w:cs="Times New Roman"/>
          <w:sz w:val="20"/>
          <w:szCs w:val="20"/>
          <w:lang w:val="en-US"/>
        </w:rPr>
        <w:t xml:space="preserve">. </w:t>
      </w:r>
      <w:r w:rsidRPr="002733DF">
        <w:rPr>
          <w:rFonts w:ascii="Times New Roman" w:hAnsi="Times New Roman" w:cs="Times New Roman"/>
          <w:sz w:val="20"/>
          <w:szCs w:val="20"/>
          <w:lang w:val="en-US"/>
        </w:rPr>
        <w:t>The overall findings</w:t>
      </w:r>
      <w:r w:rsidR="00CD6D2A" w:rsidRPr="002733DF">
        <w:rPr>
          <w:rFonts w:ascii="Times New Roman" w:hAnsi="Times New Roman" w:cs="Times New Roman"/>
          <w:sz w:val="20"/>
          <w:szCs w:val="20"/>
          <w:lang w:val="en-US"/>
        </w:rPr>
        <w:t xml:space="preserve"> </w:t>
      </w:r>
      <w:r w:rsidR="008833DA" w:rsidRPr="002733DF">
        <w:rPr>
          <w:rFonts w:ascii="Times New Roman" w:hAnsi="Times New Roman" w:cs="Times New Roman"/>
          <w:sz w:val="20"/>
          <w:szCs w:val="20"/>
          <w:lang w:val="en-US"/>
        </w:rPr>
        <w:t>reveal</w:t>
      </w:r>
      <w:r w:rsidR="001820C7" w:rsidRPr="002733DF">
        <w:rPr>
          <w:rFonts w:ascii="Times New Roman" w:hAnsi="Times New Roman" w:cs="Times New Roman"/>
          <w:sz w:val="20"/>
          <w:szCs w:val="20"/>
          <w:lang w:val="en-US"/>
        </w:rPr>
        <w:t xml:space="preserve"> the importance of providing tax ed</w:t>
      </w:r>
      <w:r w:rsidR="00E94BAD" w:rsidRPr="002733DF">
        <w:rPr>
          <w:rFonts w:ascii="Times New Roman" w:hAnsi="Times New Roman" w:cs="Times New Roman"/>
          <w:sz w:val="20"/>
          <w:szCs w:val="20"/>
          <w:lang w:val="en-US"/>
        </w:rPr>
        <w:t>ucation to all college students</w:t>
      </w:r>
      <w:r w:rsidR="00CD6D2A" w:rsidRPr="002733DF">
        <w:rPr>
          <w:rFonts w:ascii="Times New Roman" w:hAnsi="Times New Roman" w:cs="Times New Roman"/>
          <w:sz w:val="20"/>
          <w:szCs w:val="20"/>
          <w:lang w:val="en-US"/>
        </w:rPr>
        <w:t xml:space="preserve"> </w:t>
      </w:r>
      <w:r w:rsidR="00016C50" w:rsidRPr="002733DF">
        <w:rPr>
          <w:rFonts w:ascii="Times New Roman" w:hAnsi="Times New Roman" w:cs="Times New Roman"/>
          <w:sz w:val="20"/>
          <w:szCs w:val="20"/>
          <w:lang w:val="en-US"/>
        </w:rPr>
        <w:t xml:space="preserve">to </w:t>
      </w:r>
      <w:r w:rsidR="00CD6D2A" w:rsidRPr="002733DF">
        <w:rPr>
          <w:rFonts w:ascii="Times New Roman" w:hAnsi="Times New Roman" w:cs="Times New Roman"/>
          <w:sz w:val="20"/>
          <w:szCs w:val="20"/>
          <w:lang w:val="en-US"/>
        </w:rPr>
        <w:t xml:space="preserve">help </w:t>
      </w:r>
      <w:r w:rsidR="00016C50" w:rsidRPr="002733DF">
        <w:rPr>
          <w:rFonts w:ascii="Times New Roman" w:hAnsi="Times New Roman" w:cs="Times New Roman"/>
          <w:sz w:val="20"/>
          <w:szCs w:val="20"/>
          <w:lang w:val="en-US"/>
        </w:rPr>
        <w:t xml:space="preserve">them </w:t>
      </w:r>
      <w:r w:rsidR="00CD6D2A" w:rsidRPr="002733DF">
        <w:rPr>
          <w:rFonts w:ascii="Times New Roman" w:hAnsi="Times New Roman" w:cs="Times New Roman"/>
          <w:sz w:val="20"/>
          <w:szCs w:val="20"/>
          <w:lang w:val="en-US"/>
        </w:rPr>
        <w:t>improve</w:t>
      </w:r>
      <w:r w:rsidR="00016C50" w:rsidRPr="002733DF">
        <w:rPr>
          <w:rFonts w:ascii="Times New Roman" w:hAnsi="Times New Roman" w:cs="Times New Roman"/>
          <w:sz w:val="20"/>
          <w:szCs w:val="20"/>
          <w:lang w:val="en-US"/>
        </w:rPr>
        <w:t xml:space="preserve"> their</w:t>
      </w:r>
      <w:r w:rsidR="00CD6D2A" w:rsidRPr="002733DF">
        <w:rPr>
          <w:rFonts w:ascii="Times New Roman" w:hAnsi="Times New Roman" w:cs="Times New Roman"/>
          <w:sz w:val="20"/>
          <w:szCs w:val="20"/>
          <w:lang w:val="en-US"/>
        </w:rPr>
        <w:t xml:space="preserve"> tax literacy</w:t>
      </w:r>
      <w:r w:rsidR="00E94BAD" w:rsidRPr="002733DF">
        <w:rPr>
          <w:rFonts w:ascii="Times New Roman" w:hAnsi="Times New Roman" w:cs="Times New Roman"/>
          <w:sz w:val="20"/>
          <w:szCs w:val="20"/>
          <w:lang w:val="en-US"/>
        </w:rPr>
        <w:t>.</w:t>
      </w:r>
      <w:r w:rsidR="002733DF">
        <w:rPr>
          <w:rFonts w:ascii="Times New Roman" w:hAnsi="Times New Roman" w:cs="Times New Roman"/>
          <w:sz w:val="20"/>
          <w:szCs w:val="20"/>
          <w:lang w:val="en-US"/>
        </w:rPr>
        <w:t xml:space="preserve">  </w:t>
      </w:r>
    </w:p>
    <w:p w14:paraId="7C857C55" w14:textId="77777777" w:rsidR="002733DF" w:rsidRPr="002733DF" w:rsidRDefault="002733DF" w:rsidP="00C45D4F">
      <w:pPr>
        <w:rPr>
          <w:rFonts w:ascii="Times New Roman" w:hAnsi="Times New Roman" w:cs="Times New Roman"/>
          <w:sz w:val="20"/>
          <w:szCs w:val="20"/>
          <w:lang w:val="en-US"/>
        </w:rPr>
      </w:pPr>
    </w:p>
    <w:p w14:paraId="4773A1CA" w14:textId="7F445046" w:rsidR="002733DF" w:rsidRDefault="00E94BAD" w:rsidP="00C45D4F">
      <w:pPr>
        <w:rPr>
          <w:rFonts w:ascii="Times New Roman" w:hAnsi="Times New Roman" w:cs="Times New Roman"/>
          <w:sz w:val="20"/>
          <w:szCs w:val="20"/>
          <w:lang w:val="en-US"/>
        </w:rPr>
      </w:pPr>
      <w:r w:rsidRPr="002733DF">
        <w:rPr>
          <w:rFonts w:ascii="Times New Roman" w:hAnsi="Times New Roman" w:cs="Times New Roman"/>
          <w:sz w:val="20"/>
          <w:szCs w:val="20"/>
          <w:lang w:val="en-US"/>
        </w:rPr>
        <w:t xml:space="preserve">To this end, Hageman and </w:t>
      </w:r>
      <w:proofErr w:type="spellStart"/>
      <w:r w:rsidRPr="002733DF">
        <w:rPr>
          <w:rFonts w:ascii="Times New Roman" w:hAnsi="Times New Roman" w:cs="Times New Roman"/>
          <w:sz w:val="20"/>
          <w:szCs w:val="20"/>
          <w:lang w:val="en-US"/>
        </w:rPr>
        <w:t>Hausserman</w:t>
      </w:r>
      <w:proofErr w:type="spellEnd"/>
      <w:r w:rsidRPr="002733DF">
        <w:rPr>
          <w:rFonts w:ascii="Times New Roman" w:hAnsi="Times New Roman" w:cs="Times New Roman"/>
          <w:sz w:val="20"/>
          <w:szCs w:val="20"/>
          <w:lang w:val="en-US"/>
        </w:rPr>
        <w:t xml:space="preserve"> (2020) </w:t>
      </w:r>
      <w:r w:rsidR="00016C50" w:rsidRPr="002733DF">
        <w:rPr>
          <w:rFonts w:ascii="Times New Roman" w:hAnsi="Times New Roman" w:cs="Times New Roman"/>
          <w:sz w:val="20"/>
          <w:szCs w:val="20"/>
          <w:lang w:val="en-US"/>
        </w:rPr>
        <w:t xml:space="preserve">demonstrate </w:t>
      </w:r>
      <w:r w:rsidRPr="002733DF">
        <w:rPr>
          <w:rFonts w:ascii="Times New Roman" w:hAnsi="Times New Roman" w:cs="Times New Roman"/>
          <w:sz w:val="20"/>
          <w:szCs w:val="20"/>
          <w:lang w:val="en-US"/>
        </w:rPr>
        <w:t xml:space="preserve">that a short video </w:t>
      </w:r>
      <w:r w:rsidR="00B87B32" w:rsidRPr="002733DF">
        <w:rPr>
          <w:rFonts w:ascii="Times New Roman" w:hAnsi="Times New Roman" w:cs="Times New Roman"/>
          <w:sz w:val="20"/>
          <w:szCs w:val="20"/>
          <w:lang w:val="en-US"/>
        </w:rPr>
        <w:t xml:space="preserve">successfully </w:t>
      </w:r>
      <w:r w:rsidR="00556509" w:rsidRPr="002733DF">
        <w:rPr>
          <w:rFonts w:ascii="Times New Roman" w:hAnsi="Times New Roman" w:cs="Times New Roman"/>
          <w:sz w:val="20"/>
          <w:szCs w:val="20"/>
          <w:lang w:val="en-US"/>
        </w:rPr>
        <w:t>educates</w:t>
      </w:r>
      <w:r w:rsidR="00B87B32" w:rsidRPr="002733DF">
        <w:rPr>
          <w:rFonts w:ascii="Times New Roman" w:hAnsi="Times New Roman" w:cs="Times New Roman"/>
          <w:sz w:val="20"/>
          <w:szCs w:val="20"/>
          <w:lang w:val="en-US"/>
        </w:rPr>
        <w:t xml:space="preserve"> </w:t>
      </w:r>
      <w:r w:rsidR="00CD6D2A" w:rsidRPr="002733DF">
        <w:rPr>
          <w:rFonts w:ascii="Times New Roman" w:hAnsi="Times New Roman" w:cs="Times New Roman"/>
          <w:sz w:val="20"/>
          <w:szCs w:val="20"/>
          <w:lang w:val="en-US"/>
        </w:rPr>
        <w:t xml:space="preserve">their </w:t>
      </w:r>
      <w:r w:rsidR="001C5011" w:rsidRPr="002733DF">
        <w:rPr>
          <w:rFonts w:ascii="Times New Roman" w:hAnsi="Times New Roman" w:cs="Times New Roman"/>
          <w:sz w:val="20"/>
          <w:szCs w:val="20"/>
          <w:lang w:val="en-US"/>
        </w:rPr>
        <w:t xml:space="preserve">experiment </w:t>
      </w:r>
      <w:r w:rsidR="00CD6D2A" w:rsidRPr="002733DF">
        <w:rPr>
          <w:rFonts w:ascii="Times New Roman" w:hAnsi="Times New Roman" w:cs="Times New Roman"/>
          <w:sz w:val="20"/>
          <w:szCs w:val="20"/>
          <w:lang w:val="en-US"/>
        </w:rPr>
        <w:t>participants</w:t>
      </w:r>
      <w:r w:rsidR="00B87B32" w:rsidRPr="002733DF">
        <w:rPr>
          <w:rFonts w:ascii="Times New Roman" w:hAnsi="Times New Roman" w:cs="Times New Roman"/>
          <w:sz w:val="20"/>
          <w:szCs w:val="20"/>
          <w:lang w:val="en-US"/>
        </w:rPr>
        <w:t xml:space="preserve"> </w:t>
      </w:r>
      <w:r w:rsidR="00016C50" w:rsidRPr="002733DF">
        <w:rPr>
          <w:rFonts w:ascii="Times New Roman" w:hAnsi="Times New Roman" w:cs="Times New Roman"/>
          <w:sz w:val="20"/>
          <w:szCs w:val="20"/>
          <w:lang w:val="en-US"/>
        </w:rPr>
        <w:t xml:space="preserve">regarding </w:t>
      </w:r>
      <w:r w:rsidR="00B87B32" w:rsidRPr="002733DF">
        <w:rPr>
          <w:rFonts w:ascii="Times New Roman" w:hAnsi="Times New Roman" w:cs="Times New Roman"/>
          <w:sz w:val="20"/>
          <w:szCs w:val="20"/>
          <w:lang w:val="en-US"/>
        </w:rPr>
        <w:t>how charitable contribution deduction</w:t>
      </w:r>
      <w:r w:rsidR="00016C50" w:rsidRPr="002733DF">
        <w:rPr>
          <w:rFonts w:ascii="Times New Roman" w:hAnsi="Times New Roman" w:cs="Times New Roman"/>
          <w:sz w:val="20"/>
          <w:szCs w:val="20"/>
          <w:lang w:val="en-US"/>
        </w:rPr>
        <w:t>s</w:t>
      </w:r>
      <w:r w:rsidR="00B87B32" w:rsidRPr="002733DF">
        <w:rPr>
          <w:rFonts w:ascii="Times New Roman" w:hAnsi="Times New Roman" w:cs="Times New Roman"/>
          <w:sz w:val="20"/>
          <w:szCs w:val="20"/>
          <w:lang w:val="en-US"/>
        </w:rPr>
        <w:t xml:space="preserve"> work. </w:t>
      </w:r>
      <w:r w:rsidR="00631CD4" w:rsidRPr="002733DF">
        <w:rPr>
          <w:rFonts w:ascii="Times New Roman" w:hAnsi="Times New Roman" w:cs="Times New Roman"/>
          <w:sz w:val="20"/>
          <w:szCs w:val="20"/>
          <w:lang w:val="en-US"/>
        </w:rPr>
        <w:t xml:space="preserve">Therefore, </w:t>
      </w:r>
      <w:proofErr w:type="gramStart"/>
      <w:r w:rsidR="00631CD4" w:rsidRPr="002733DF">
        <w:rPr>
          <w:rFonts w:ascii="Times New Roman" w:hAnsi="Times New Roman" w:cs="Times New Roman"/>
          <w:sz w:val="20"/>
          <w:szCs w:val="20"/>
          <w:lang w:val="en-US"/>
        </w:rPr>
        <w:t>as long as</w:t>
      </w:r>
      <w:proofErr w:type="gramEnd"/>
      <w:r w:rsidR="00631CD4" w:rsidRPr="002733DF">
        <w:rPr>
          <w:rFonts w:ascii="Times New Roman" w:hAnsi="Times New Roman" w:cs="Times New Roman"/>
          <w:sz w:val="20"/>
          <w:szCs w:val="20"/>
          <w:lang w:val="en-US"/>
        </w:rPr>
        <w:t xml:space="preserve"> tax education is practical and reflect</w:t>
      </w:r>
      <w:r w:rsidR="008135B1" w:rsidRPr="002733DF">
        <w:rPr>
          <w:rFonts w:ascii="Times New Roman" w:hAnsi="Times New Roman" w:cs="Times New Roman"/>
          <w:sz w:val="20"/>
          <w:szCs w:val="20"/>
          <w:lang w:val="en-US"/>
        </w:rPr>
        <w:t>s</w:t>
      </w:r>
      <w:r w:rsidR="00631CD4" w:rsidRPr="002733DF">
        <w:rPr>
          <w:rFonts w:ascii="Times New Roman" w:hAnsi="Times New Roman" w:cs="Times New Roman"/>
          <w:sz w:val="20"/>
          <w:szCs w:val="20"/>
          <w:lang w:val="en-US"/>
        </w:rPr>
        <w:t xml:space="preserve"> real-life experience, </w:t>
      </w:r>
      <w:r w:rsidR="005D64FD" w:rsidRPr="002733DF">
        <w:rPr>
          <w:rFonts w:ascii="Times New Roman" w:hAnsi="Times New Roman" w:cs="Times New Roman"/>
          <w:sz w:val="20"/>
          <w:szCs w:val="20"/>
          <w:lang w:val="en-US"/>
        </w:rPr>
        <w:t xml:space="preserve">even </w:t>
      </w:r>
      <w:r w:rsidR="008135B1" w:rsidRPr="002733DF">
        <w:rPr>
          <w:rFonts w:ascii="Times New Roman" w:hAnsi="Times New Roman" w:cs="Times New Roman"/>
          <w:sz w:val="20"/>
          <w:szCs w:val="20"/>
          <w:lang w:val="en-US"/>
        </w:rPr>
        <w:t xml:space="preserve">brief </w:t>
      </w:r>
      <w:r w:rsidR="005D64FD" w:rsidRPr="002733DF">
        <w:rPr>
          <w:rFonts w:ascii="Times New Roman" w:hAnsi="Times New Roman" w:cs="Times New Roman"/>
          <w:sz w:val="20"/>
          <w:szCs w:val="20"/>
          <w:lang w:val="en-US"/>
        </w:rPr>
        <w:t>sessions</w:t>
      </w:r>
      <w:r w:rsidR="00631CD4" w:rsidRPr="002733DF">
        <w:rPr>
          <w:rFonts w:ascii="Times New Roman" w:hAnsi="Times New Roman" w:cs="Times New Roman"/>
          <w:sz w:val="20"/>
          <w:szCs w:val="20"/>
          <w:lang w:val="en-US"/>
        </w:rPr>
        <w:t xml:space="preserve"> may improve students’ tax literacy. </w:t>
      </w:r>
      <w:r w:rsidR="00A967F7" w:rsidRPr="002733DF">
        <w:rPr>
          <w:rFonts w:ascii="Times New Roman" w:hAnsi="Times New Roman" w:cs="Times New Roman"/>
          <w:sz w:val="20"/>
          <w:szCs w:val="20"/>
          <w:lang w:val="en-US"/>
        </w:rPr>
        <w:t xml:space="preserve">We understand that colleges and universities may not have the flexibility to include mandated tax programs, and faculty members often </w:t>
      </w:r>
      <w:proofErr w:type="gramStart"/>
      <w:r w:rsidR="00A967F7" w:rsidRPr="002733DF">
        <w:rPr>
          <w:rFonts w:ascii="Times New Roman" w:hAnsi="Times New Roman" w:cs="Times New Roman"/>
          <w:sz w:val="20"/>
          <w:szCs w:val="20"/>
          <w:lang w:val="en-US"/>
        </w:rPr>
        <w:t>have to</w:t>
      </w:r>
      <w:proofErr w:type="gramEnd"/>
      <w:r w:rsidR="00A967F7" w:rsidRPr="002733DF">
        <w:rPr>
          <w:rFonts w:ascii="Times New Roman" w:hAnsi="Times New Roman" w:cs="Times New Roman"/>
          <w:sz w:val="20"/>
          <w:szCs w:val="20"/>
          <w:lang w:val="en-US"/>
        </w:rPr>
        <w:t xml:space="preserve"> </w:t>
      </w:r>
      <w:r w:rsidR="00A967F7" w:rsidRPr="002733DF">
        <w:rPr>
          <w:rFonts w:ascii="Times New Roman" w:hAnsi="Times New Roman" w:cs="Times New Roman"/>
          <w:sz w:val="20"/>
          <w:szCs w:val="20"/>
          <w:lang w:val="en-US"/>
        </w:rPr>
        <w:lastRenderedPageBreak/>
        <w:t xml:space="preserve">be creative to motivate students to participate in extracurricular learning events. </w:t>
      </w:r>
      <w:r w:rsidR="00A737ED" w:rsidRPr="002733DF">
        <w:rPr>
          <w:rFonts w:ascii="Times New Roman" w:hAnsi="Times New Roman" w:cs="Times New Roman"/>
          <w:sz w:val="20"/>
          <w:szCs w:val="20"/>
          <w:lang w:val="en-US"/>
        </w:rPr>
        <w:t>Therefore, we recommend some</w:t>
      </w:r>
      <w:r w:rsidR="009241AF" w:rsidRPr="002733DF">
        <w:rPr>
          <w:rFonts w:ascii="Times New Roman" w:hAnsi="Times New Roman" w:cs="Times New Roman"/>
          <w:sz w:val="20"/>
          <w:szCs w:val="20"/>
          <w:lang w:val="en-US"/>
        </w:rPr>
        <w:t xml:space="preserve"> low-stake programs that colleges may </w:t>
      </w:r>
      <w:r w:rsidR="005D64FD" w:rsidRPr="002733DF">
        <w:rPr>
          <w:rFonts w:ascii="Times New Roman" w:hAnsi="Times New Roman" w:cs="Times New Roman"/>
          <w:sz w:val="20"/>
          <w:szCs w:val="20"/>
          <w:lang w:val="en-US"/>
        </w:rPr>
        <w:t>consider</w:t>
      </w:r>
      <w:r w:rsidR="009241AF" w:rsidRPr="002733DF">
        <w:rPr>
          <w:rFonts w:ascii="Times New Roman" w:hAnsi="Times New Roman" w:cs="Times New Roman"/>
          <w:sz w:val="20"/>
          <w:szCs w:val="20"/>
          <w:lang w:val="en-US"/>
        </w:rPr>
        <w:t xml:space="preserve">. For example, </w:t>
      </w:r>
      <w:r w:rsidR="005661EA" w:rsidRPr="002733DF">
        <w:rPr>
          <w:rFonts w:ascii="Times New Roman" w:hAnsi="Times New Roman" w:cs="Times New Roman"/>
          <w:sz w:val="20"/>
          <w:szCs w:val="20"/>
          <w:lang w:val="en-US"/>
        </w:rPr>
        <w:t xml:space="preserve">colleges </w:t>
      </w:r>
      <w:r w:rsidR="009241AF" w:rsidRPr="002733DF">
        <w:rPr>
          <w:rFonts w:ascii="Times New Roman" w:hAnsi="Times New Roman" w:cs="Times New Roman"/>
          <w:sz w:val="20"/>
          <w:szCs w:val="20"/>
          <w:lang w:val="en-US"/>
        </w:rPr>
        <w:t xml:space="preserve">may </w:t>
      </w:r>
      <w:r w:rsidR="005661EA" w:rsidRPr="002733DF">
        <w:rPr>
          <w:rFonts w:ascii="Times New Roman" w:hAnsi="Times New Roman" w:cs="Times New Roman"/>
          <w:sz w:val="20"/>
          <w:szCs w:val="20"/>
          <w:lang w:val="en-US"/>
        </w:rPr>
        <w:t xml:space="preserve">design </w:t>
      </w:r>
      <w:r w:rsidR="002D0437" w:rsidRPr="002733DF">
        <w:rPr>
          <w:rFonts w:ascii="Times New Roman" w:hAnsi="Times New Roman" w:cs="Times New Roman"/>
          <w:sz w:val="20"/>
          <w:szCs w:val="20"/>
          <w:lang w:val="en-US"/>
        </w:rPr>
        <w:t>workshop</w:t>
      </w:r>
      <w:r w:rsidR="00016C50" w:rsidRPr="002733DF">
        <w:rPr>
          <w:rFonts w:ascii="Times New Roman" w:hAnsi="Times New Roman" w:cs="Times New Roman"/>
          <w:sz w:val="20"/>
          <w:szCs w:val="20"/>
          <w:lang w:val="en-US"/>
        </w:rPr>
        <w:t>s</w:t>
      </w:r>
      <w:r w:rsidR="002D0437" w:rsidRPr="002733DF">
        <w:rPr>
          <w:rFonts w:ascii="Times New Roman" w:hAnsi="Times New Roman" w:cs="Times New Roman"/>
          <w:sz w:val="20"/>
          <w:szCs w:val="20"/>
          <w:lang w:val="en-US"/>
        </w:rPr>
        <w:t xml:space="preserve"> or competition</w:t>
      </w:r>
      <w:r w:rsidR="00016C50" w:rsidRPr="002733DF">
        <w:rPr>
          <w:rFonts w:ascii="Times New Roman" w:hAnsi="Times New Roman" w:cs="Times New Roman"/>
          <w:sz w:val="20"/>
          <w:szCs w:val="20"/>
          <w:lang w:val="en-US"/>
        </w:rPr>
        <w:t>s</w:t>
      </w:r>
      <w:r w:rsidR="002D0437" w:rsidRPr="002733DF">
        <w:rPr>
          <w:rFonts w:ascii="Times New Roman" w:hAnsi="Times New Roman" w:cs="Times New Roman"/>
          <w:sz w:val="20"/>
          <w:szCs w:val="20"/>
          <w:lang w:val="en-US"/>
        </w:rPr>
        <w:t xml:space="preserve"> around </w:t>
      </w:r>
      <w:r w:rsidR="00A737ED" w:rsidRPr="002733DF">
        <w:rPr>
          <w:rFonts w:ascii="Times New Roman" w:hAnsi="Times New Roman" w:cs="Times New Roman"/>
          <w:sz w:val="20"/>
          <w:szCs w:val="20"/>
          <w:lang w:val="en-US"/>
        </w:rPr>
        <w:t xml:space="preserve">the </w:t>
      </w:r>
      <w:r w:rsidR="002D0437" w:rsidRPr="002733DF">
        <w:rPr>
          <w:rFonts w:ascii="Times New Roman" w:hAnsi="Times New Roman" w:cs="Times New Roman"/>
          <w:sz w:val="20"/>
          <w:szCs w:val="20"/>
          <w:lang w:val="en-US"/>
        </w:rPr>
        <w:t xml:space="preserve">tax season to </w:t>
      </w:r>
      <w:r w:rsidR="00016C50" w:rsidRPr="002733DF">
        <w:rPr>
          <w:rFonts w:ascii="Times New Roman" w:hAnsi="Times New Roman" w:cs="Times New Roman"/>
          <w:sz w:val="20"/>
          <w:szCs w:val="20"/>
          <w:lang w:val="en-US"/>
        </w:rPr>
        <w:t xml:space="preserve">create </w:t>
      </w:r>
      <w:r w:rsidR="00EA46FE" w:rsidRPr="002733DF">
        <w:rPr>
          <w:rFonts w:ascii="Times New Roman" w:hAnsi="Times New Roman" w:cs="Times New Roman"/>
          <w:sz w:val="20"/>
          <w:szCs w:val="20"/>
          <w:lang w:val="en-US"/>
        </w:rPr>
        <w:t xml:space="preserve">general </w:t>
      </w:r>
      <w:r w:rsidR="002D0437" w:rsidRPr="002733DF">
        <w:rPr>
          <w:rFonts w:ascii="Times New Roman" w:hAnsi="Times New Roman" w:cs="Times New Roman"/>
          <w:sz w:val="20"/>
          <w:szCs w:val="20"/>
          <w:lang w:val="en-US"/>
        </w:rPr>
        <w:t xml:space="preserve">awareness. </w:t>
      </w:r>
      <w:r w:rsidR="00071E2A" w:rsidRPr="002733DF">
        <w:rPr>
          <w:rFonts w:ascii="Times New Roman" w:hAnsi="Times New Roman" w:cs="Times New Roman"/>
          <w:sz w:val="20"/>
          <w:szCs w:val="20"/>
          <w:lang w:val="en-US"/>
        </w:rPr>
        <w:t>Accounting faculty members may also consider advising accounting student clubs to</w:t>
      </w:r>
      <w:r w:rsidR="00283042" w:rsidRPr="002733DF">
        <w:rPr>
          <w:rFonts w:ascii="Times New Roman" w:hAnsi="Times New Roman" w:cs="Times New Roman"/>
          <w:sz w:val="20"/>
          <w:szCs w:val="20"/>
          <w:lang w:val="en-US"/>
        </w:rPr>
        <w:t xml:space="preserve"> organize “tax help center</w:t>
      </w:r>
      <w:r w:rsidR="00016C50" w:rsidRPr="002733DF">
        <w:rPr>
          <w:rFonts w:ascii="Times New Roman" w:hAnsi="Times New Roman" w:cs="Times New Roman"/>
          <w:sz w:val="20"/>
          <w:szCs w:val="20"/>
          <w:lang w:val="en-US"/>
        </w:rPr>
        <w:t>s</w:t>
      </w:r>
      <w:r w:rsidR="00071E2A" w:rsidRPr="002733DF">
        <w:rPr>
          <w:rFonts w:ascii="Times New Roman" w:hAnsi="Times New Roman" w:cs="Times New Roman"/>
          <w:sz w:val="20"/>
          <w:szCs w:val="20"/>
          <w:lang w:val="en-US"/>
        </w:rPr>
        <w:t xml:space="preserve">” to assist fellow students </w:t>
      </w:r>
      <w:r w:rsidR="00AC792A" w:rsidRPr="002733DF">
        <w:rPr>
          <w:rFonts w:ascii="Times New Roman" w:hAnsi="Times New Roman" w:cs="Times New Roman"/>
          <w:sz w:val="20"/>
          <w:szCs w:val="20"/>
          <w:lang w:val="en-US"/>
        </w:rPr>
        <w:t xml:space="preserve">in </w:t>
      </w:r>
      <w:r w:rsidR="00071E2A" w:rsidRPr="002733DF">
        <w:rPr>
          <w:rFonts w:ascii="Times New Roman" w:hAnsi="Times New Roman" w:cs="Times New Roman"/>
          <w:sz w:val="20"/>
          <w:szCs w:val="20"/>
          <w:lang w:val="en-US"/>
        </w:rPr>
        <w:t>better understand</w:t>
      </w:r>
      <w:r w:rsidR="00AC792A" w:rsidRPr="002733DF">
        <w:rPr>
          <w:rFonts w:ascii="Times New Roman" w:hAnsi="Times New Roman" w:cs="Times New Roman"/>
          <w:sz w:val="20"/>
          <w:szCs w:val="20"/>
          <w:lang w:val="en-US"/>
        </w:rPr>
        <w:t>ing</w:t>
      </w:r>
      <w:r w:rsidR="00071E2A" w:rsidRPr="002733DF">
        <w:rPr>
          <w:rFonts w:ascii="Times New Roman" w:hAnsi="Times New Roman" w:cs="Times New Roman"/>
          <w:sz w:val="20"/>
          <w:szCs w:val="20"/>
          <w:lang w:val="en-US"/>
        </w:rPr>
        <w:t xml:space="preserve"> fundamental tax questions. </w:t>
      </w:r>
      <w:r w:rsidR="002D0437" w:rsidRPr="002733DF">
        <w:rPr>
          <w:rFonts w:ascii="Times New Roman" w:hAnsi="Times New Roman" w:cs="Times New Roman"/>
          <w:sz w:val="20"/>
          <w:szCs w:val="20"/>
          <w:lang w:val="en-US"/>
        </w:rPr>
        <w:t>For schools that already have financial literacy programs</w:t>
      </w:r>
      <w:r w:rsidR="00910908" w:rsidRPr="002733DF">
        <w:rPr>
          <w:rFonts w:ascii="Times New Roman" w:hAnsi="Times New Roman" w:cs="Times New Roman"/>
          <w:sz w:val="20"/>
          <w:szCs w:val="20"/>
          <w:lang w:val="en-US"/>
        </w:rPr>
        <w:t xml:space="preserve"> or Certified Financial Planner programs</w:t>
      </w:r>
      <w:r w:rsidR="002D0437" w:rsidRPr="002733DF">
        <w:rPr>
          <w:rFonts w:ascii="Times New Roman" w:hAnsi="Times New Roman" w:cs="Times New Roman"/>
          <w:sz w:val="20"/>
          <w:szCs w:val="20"/>
          <w:lang w:val="en-US"/>
        </w:rPr>
        <w:t xml:space="preserve">, we recommend </w:t>
      </w:r>
      <w:r w:rsidR="00016C50" w:rsidRPr="002733DF">
        <w:rPr>
          <w:rFonts w:ascii="Times New Roman" w:hAnsi="Times New Roman" w:cs="Times New Roman"/>
          <w:sz w:val="20"/>
          <w:szCs w:val="20"/>
          <w:lang w:val="en-US"/>
        </w:rPr>
        <w:t xml:space="preserve">including </w:t>
      </w:r>
      <w:r w:rsidR="002D0437" w:rsidRPr="002733DF">
        <w:rPr>
          <w:rFonts w:ascii="Times New Roman" w:hAnsi="Times New Roman" w:cs="Times New Roman"/>
          <w:sz w:val="20"/>
          <w:szCs w:val="20"/>
          <w:lang w:val="en-US"/>
        </w:rPr>
        <w:t>tax workshop</w:t>
      </w:r>
      <w:r w:rsidR="00016C50" w:rsidRPr="002733DF">
        <w:rPr>
          <w:rFonts w:ascii="Times New Roman" w:hAnsi="Times New Roman" w:cs="Times New Roman"/>
          <w:sz w:val="20"/>
          <w:szCs w:val="20"/>
          <w:lang w:val="en-US"/>
        </w:rPr>
        <w:t>s</w:t>
      </w:r>
      <w:r w:rsidR="002D0437" w:rsidRPr="002733DF">
        <w:rPr>
          <w:rFonts w:ascii="Times New Roman" w:hAnsi="Times New Roman" w:cs="Times New Roman"/>
          <w:sz w:val="20"/>
          <w:szCs w:val="20"/>
          <w:lang w:val="en-US"/>
        </w:rPr>
        <w:t xml:space="preserve"> </w:t>
      </w:r>
      <w:r w:rsidR="00910908" w:rsidRPr="002733DF">
        <w:rPr>
          <w:rFonts w:ascii="Times New Roman" w:hAnsi="Times New Roman" w:cs="Times New Roman"/>
          <w:sz w:val="20"/>
          <w:szCs w:val="20"/>
          <w:lang w:val="en-US"/>
        </w:rPr>
        <w:t xml:space="preserve">and </w:t>
      </w:r>
      <w:r w:rsidR="00217606" w:rsidRPr="002733DF">
        <w:rPr>
          <w:rFonts w:ascii="Times New Roman" w:hAnsi="Times New Roman" w:cs="Times New Roman"/>
          <w:sz w:val="20"/>
          <w:szCs w:val="20"/>
          <w:lang w:val="en-US"/>
        </w:rPr>
        <w:t xml:space="preserve">more </w:t>
      </w:r>
      <w:r w:rsidR="00910908" w:rsidRPr="002733DF">
        <w:rPr>
          <w:rFonts w:ascii="Times New Roman" w:hAnsi="Times New Roman" w:cs="Times New Roman"/>
          <w:sz w:val="20"/>
          <w:szCs w:val="20"/>
          <w:lang w:val="en-US"/>
        </w:rPr>
        <w:t xml:space="preserve">tax </w:t>
      </w:r>
      <w:r w:rsidR="00217606" w:rsidRPr="002733DF">
        <w:rPr>
          <w:rFonts w:ascii="Times New Roman" w:hAnsi="Times New Roman" w:cs="Times New Roman"/>
          <w:sz w:val="20"/>
          <w:szCs w:val="20"/>
          <w:lang w:val="en-US"/>
        </w:rPr>
        <w:t>materials</w:t>
      </w:r>
      <w:r w:rsidR="00910908" w:rsidRPr="002733DF">
        <w:rPr>
          <w:rFonts w:ascii="Times New Roman" w:hAnsi="Times New Roman" w:cs="Times New Roman"/>
          <w:sz w:val="20"/>
          <w:szCs w:val="20"/>
          <w:lang w:val="en-US"/>
        </w:rPr>
        <w:t xml:space="preserve"> </w:t>
      </w:r>
      <w:r w:rsidR="002D0437" w:rsidRPr="002733DF">
        <w:rPr>
          <w:rFonts w:ascii="Times New Roman" w:hAnsi="Times New Roman" w:cs="Times New Roman"/>
          <w:sz w:val="20"/>
          <w:szCs w:val="20"/>
          <w:lang w:val="en-US"/>
        </w:rPr>
        <w:t xml:space="preserve">in these programs </w:t>
      </w:r>
      <w:r w:rsidR="00AC792A" w:rsidRPr="002733DF">
        <w:rPr>
          <w:rFonts w:ascii="Times New Roman" w:hAnsi="Times New Roman" w:cs="Times New Roman"/>
          <w:sz w:val="20"/>
          <w:szCs w:val="20"/>
          <w:lang w:val="en-US"/>
        </w:rPr>
        <w:t>to</w:t>
      </w:r>
      <w:r w:rsidR="002D0437" w:rsidRPr="002733DF">
        <w:rPr>
          <w:rFonts w:ascii="Times New Roman" w:hAnsi="Times New Roman" w:cs="Times New Roman"/>
          <w:sz w:val="20"/>
          <w:szCs w:val="20"/>
          <w:lang w:val="en-US"/>
        </w:rPr>
        <w:t xml:space="preserve"> provide a comprehensive package to facilitate students’ financial success.</w:t>
      </w:r>
      <w:r w:rsidR="00217606" w:rsidRPr="002733DF">
        <w:rPr>
          <w:rFonts w:ascii="Times New Roman" w:hAnsi="Times New Roman" w:cs="Times New Roman"/>
          <w:sz w:val="20"/>
          <w:szCs w:val="20"/>
          <w:lang w:val="en-US"/>
        </w:rPr>
        <w:t xml:space="preserve"> These programs are available to all students regardless of their majors and thus can extend tax education to students who do not take any accounting or tax courses.</w:t>
      </w:r>
      <w:r w:rsidR="002733DF">
        <w:rPr>
          <w:rFonts w:ascii="Times New Roman" w:hAnsi="Times New Roman" w:cs="Times New Roman"/>
          <w:sz w:val="20"/>
          <w:szCs w:val="20"/>
          <w:lang w:val="en-US"/>
        </w:rPr>
        <w:t xml:space="preserve">  </w:t>
      </w:r>
    </w:p>
    <w:p w14:paraId="0F7A3938" w14:textId="77777777" w:rsidR="002733DF" w:rsidRPr="002733DF" w:rsidRDefault="002733DF" w:rsidP="00C45D4F">
      <w:pPr>
        <w:rPr>
          <w:rFonts w:ascii="Times New Roman" w:hAnsi="Times New Roman" w:cs="Times New Roman"/>
          <w:sz w:val="20"/>
          <w:szCs w:val="20"/>
          <w:lang w:val="en-US"/>
        </w:rPr>
      </w:pPr>
    </w:p>
    <w:p w14:paraId="5565A06E" w14:textId="761B9513" w:rsidR="00972C76" w:rsidRPr="002733DF" w:rsidRDefault="005661EA" w:rsidP="00C45D4F">
      <w:pPr>
        <w:rPr>
          <w:rFonts w:ascii="Times New Roman" w:hAnsi="Times New Roman" w:cs="Times New Roman"/>
          <w:sz w:val="20"/>
          <w:szCs w:val="20"/>
          <w:lang w:val="en-US"/>
        </w:rPr>
      </w:pPr>
      <w:r w:rsidRPr="002733DF">
        <w:rPr>
          <w:rFonts w:ascii="Times New Roman" w:hAnsi="Times New Roman" w:cs="Times New Roman"/>
          <w:sz w:val="20"/>
          <w:szCs w:val="20"/>
          <w:lang w:val="en-US"/>
        </w:rPr>
        <w:t xml:space="preserve">Moreover, participation in the Volunteer Income Tax Assistance (VITA) program </w:t>
      </w:r>
      <w:r w:rsidR="002D0437" w:rsidRPr="002733DF">
        <w:rPr>
          <w:rFonts w:ascii="Times New Roman" w:hAnsi="Times New Roman" w:cs="Times New Roman"/>
          <w:sz w:val="20"/>
          <w:szCs w:val="20"/>
          <w:lang w:val="en-US"/>
        </w:rPr>
        <w:t>is</w:t>
      </w:r>
      <w:r w:rsidR="00A9379D" w:rsidRPr="002733DF">
        <w:rPr>
          <w:rFonts w:ascii="Times New Roman" w:hAnsi="Times New Roman" w:cs="Times New Roman"/>
          <w:sz w:val="20"/>
          <w:szCs w:val="20"/>
          <w:lang w:val="en-US"/>
        </w:rPr>
        <w:t xml:space="preserve"> </w:t>
      </w:r>
      <w:r w:rsidR="008135B1" w:rsidRPr="002733DF">
        <w:rPr>
          <w:rFonts w:ascii="Times New Roman" w:hAnsi="Times New Roman" w:cs="Times New Roman"/>
          <w:sz w:val="20"/>
          <w:szCs w:val="20"/>
          <w:lang w:val="en-US"/>
        </w:rPr>
        <w:t xml:space="preserve">another </w:t>
      </w:r>
      <w:r w:rsidR="00016C50" w:rsidRPr="002733DF">
        <w:rPr>
          <w:rFonts w:ascii="Times New Roman" w:hAnsi="Times New Roman" w:cs="Times New Roman"/>
          <w:sz w:val="20"/>
          <w:szCs w:val="20"/>
          <w:lang w:val="en-US"/>
        </w:rPr>
        <w:t>ideal</w:t>
      </w:r>
      <w:r w:rsidR="002D0437" w:rsidRPr="002733DF">
        <w:rPr>
          <w:rFonts w:ascii="Times New Roman" w:hAnsi="Times New Roman" w:cs="Times New Roman"/>
          <w:sz w:val="20"/>
          <w:szCs w:val="20"/>
          <w:lang w:val="en-US"/>
        </w:rPr>
        <w:t xml:space="preserve"> </w:t>
      </w:r>
      <w:r w:rsidR="001C5011" w:rsidRPr="002733DF">
        <w:rPr>
          <w:rFonts w:ascii="Times New Roman" w:hAnsi="Times New Roman" w:cs="Times New Roman"/>
          <w:sz w:val="20"/>
          <w:szCs w:val="20"/>
          <w:lang w:val="en-US"/>
        </w:rPr>
        <w:t xml:space="preserve">way to </w:t>
      </w:r>
      <w:r w:rsidR="00A9379D" w:rsidRPr="002733DF">
        <w:rPr>
          <w:rFonts w:ascii="Times New Roman" w:hAnsi="Times New Roman" w:cs="Times New Roman"/>
          <w:sz w:val="20"/>
          <w:szCs w:val="20"/>
          <w:lang w:val="en-US"/>
        </w:rPr>
        <w:t>promote students’ exposure</w:t>
      </w:r>
      <w:r w:rsidR="002D0437" w:rsidRPr="002733DF">
        <w:rPr>
          <w:rFonts w:ascii="Times New Roman" w:hAnsi="Times New Roman" w:cs="Times New Roman"/>
          <w:sz w:val="20"/>
          <w:szCs w:val="20"/>
          <w:lang w:val="en-US"/>
        </w:rPr>
        <w:t xml:space="preserve"> to tax concepts and community services</w:t>
      </w:r>
      <w:r w:rsidR="008C4B4C" w:rsidRPr="002733DF">
        <w:rPr>
          <w:rFonts w:ascii="Times New Roman" w:hAnsi="Times New Roman" w:cs="Times New Roman"/>
          <w:sz w:val="20"/>
          <w:szCs w:val="20"/>
          <w:lang w:val="en-US"/>
        </w:rPr>
        <w:t xml:space="preserve"> (Boneck</w:t>
      </w:r>
      <w:r w:rsidR="001F79B5" w:rsidRPr="002733DF">
        <w:rPr>
          <w:rFonts w:ascii="Times New Roman" w:hAnsi="Times New Roman" w:cs="Times New Roman"/>
          <w:sz w:val="20"/>
          <w:szCs w:val="20"/>
          <w:lang w:val="en-US"/>
        </w:rPr>
        <w:t xml:space="preserve"> et al.,</w:t>
      </w:r>
      <w:r w:rsidR="008C4B4C" w:rsidRPr="002733DF">
        <w:rPr>
          <w:rFonts w:ascii="Times New Roman" w:hAnsi="Times New Roman" w:cs="Times New Roman"/>
          <w:sz w:val="20"/>
          <w:szCs w:val="20"/>
          <w:lang w:val="en-US"/>
        </w:rPr>
        <w:t xml:space="preserve"> 2014</w:t>
      </w:r>
      <w:r w:rsidR="001F79B5" w:rsidRPr="002733DF">
        <w:rPr>
          <w:rFonts w:ascii="Times New Roman" w:hAnsi="Times New Roman" w:cs="Times New Roman"/>
          <w:sz w:val="20"/>
          <w:szCs w:val="20"/>
          <w:lang w:val="en-US"/>
        </w:rPr>
        <w:t>;</w:t>
      </w:r>
      <w:r w:rsidR="009178C3" w:rsidRPr="002733DF">
        <w:rPr>
          <w:rFonts w:ascii="Times New Roman" w:hAnsi="Times New Roman" w:cs="Times New Roman"/>
          <w:sz w:val="20"/>
          <w:szCs w:val="20"/>
          <w:lang w:val="en-US"/>
        </w:rPr>
        <w:t xml:space="preserve"> </w:t>
      </w:r>
      <w:proofErr w:type="spellStart"/>
      <w:r w:rsidR="009178C3" w:rsidRPr="002733DF">
        <w:rPr>
          <w:rFonts w:ascii="Times New Roman" w:hAnsi="Times New Roman" w:cs="Times New Roman"/>
          <w:sz w:val="20"/>
          <w:szCs w:val="20"/>
          <w:lang w:val="en-US"/>
        </w:rPr>
        <w:t>Blanthrone</w:t>
      </w:r>
      <w:proofErr w:type="spellEnd"/>
      <w:r w:rsidR="009178C3" w:rsidRPr="002733DF">
        <w:rPr>
          <w:rFonts w:ascii="Times New Roman" w:hAnsi="Times New Roman" w:cs="Times New Roman"/>
          <w:sz w:val="20"/>
          <w:szCs w:val="20"/>
          <w:lang w:val="en-US"/>
        </w:rPr>
        <w:t xml:space="preserve"> and Westin</w:t>
      </w:r>
      <w:r w:rsidR="001F79B5" w:rsidRPr="002733DF">
        <w:rPr>
          <w:rFonts w:ascii="Times New Roman" w:hAnsi="Times New Roman" w:cs="Times New Roman"/>
          <w:sz w:val="20"/>
          <w:szCs w:val="20"/>
          <w:lang w:val="en-US"/>
        </w:rPr>
        <w:t>,</w:t>
      </w:r>
      <w:r w:rsidR="009178C3" w:rsidRPr="002733DF">
        <w:rPr>
          <w:rFonts w:ascii="Times New Roman" w:hAnsi="Times New Roman" w:cs="Times New Roman"/>
          <w:sz w:val="20"/>
          <w:szCs w:val="20"/>
          <w:lang w:val="en-US"/>
        </w:rPr>
        <w:t xml:space="preserve"> 2016</w:t>
      </w:r>
      <w:r w:rsidR="008C4B4C" w:rsidRPr="002733DF">
        <w:rPr>
          <w:rFonts w:ascii="Times New Roman" w:hAnsi="Times New Roman" w:cs="Times New Roman"/>
          <w:sz w:val="20"/>
          <w:szCs w:val="20"/>
          <w:lang w:val="en-US"/>
        </w:rPr>
        <w:t>)</w:t>
      </w:r>
      <w:r w:rsidR="002D0437" w:rsidRPr="002733DF">
        <w:rPr>
          <w:rFonts w:ascii="Times New Roman" w:hAnsi="Times New Roman" w:cs="Times New Roman"/>
          <w:sz w:val="20"/>
          <w:szCs w:val="20"/>
          <w:lang w:val="en-US"/>
        </w:rPr>
        <w:t xml:space="preserve">. </w:t>
      </w:r>
      <w:r w:rsidR="002567F2" w:rsidRPr="002733DF">
        <w:rPr>
          <w:rFonts w:ascii="Times New Roman" w:hAnsi="Times New Roman" w:cs="Times New Roman"/>
          <w:sz w:val="20"/>
          <w:szCs w:val="20"/>
          <w:lang w:val="en-US"/>
        </w:rPr>
        <w:t xml:space="preserve">The VITA program is </w:t>
      </w:r>
      <w:r w:rsidR="001C5011" w:rsidRPr="002733DF">
        <w:rPr>
          <w:rFonts w:ascii="Times New Roman" w:hAnsi="Times New Roman" w:cs="Times New Roman"/>
          <w:sz w:val="20"/>
          <w:szCs w:val="20"/>
          <w:lang w:val="en-US"/>
        </w:rPr>
        <w:t>open to students of all disciplines</w:t>
      </w:r>
      <w:r w:rsidR="009178C3" w:rsidRPr="002733DF">
        <w:rPr>
          <w:rFonts w:ascii="Times New Roman" w:hAnsi="Times New Roman" w:cs="Times New Roman"/>
          <w:sz w:val="20"/>
          <w:szCs w:val="20"/>
          <w:lang w:val="en-US"/>
        </w:rPr>
        <w:t xml:space="preserve">. </w:t>
      </w:r>
      <w:r w:rsidR="008135B1" w:rsidRPr="002733DF">
        <w:rPr>
          <w:rFonts w:ascii="Times New Roman" w:hAnsi="Times New Roman" w:cs="Times New Roman"/>
          <w:sz w:val="20"/>
          <w:szCs w:val="20"/>
          <w:lang w:val="en-US"/>
        </w:rPr>
        <w:t>S</w:t>
      </w:r>
      <w:r w:rsidR="009178C3" w:rsidRPr="002733DF">
        <w:rPr>
          <w:rFonts w:ascii="Times New Roman" w:hAnsi="Times New Roman" w:cs="Times New Roman"/>
          <w:sz w:val="20"/>
          <w:szCs w:val="20"/>
          <w:lang w:val="en-US"/>
        </w:rPr>
        <w:t>chool</w:t>
      </w:r>
      <w:r w:rsidR="009F7651" w:rsidRPr="002733DF">
        <w:rPr>
          <w:rFonts w:ascii="Times New Roman" w:hAnsi="Times New Roman" w:cs="Times New Roman"/>
          <w:sz w:val="20"/>
          <w:szCs w:val="20"/>
          <w:lang w:val="en-US"/>
        </w:rPr>
        <w:t>s</w:t>
      </w:r>
      <w:r w:rsidR="009178C3" w:rsidRPr="002733DF">
        <w:rPr>
          <w:rFonts w:ascii="Times New Roman" w:hAnsi="Times New Roman" w:cs="Times New Roman"/>
          <w:sz w:val="20"/>
          <w:szCs w:val="20"/>
          <w:lang w:val="en-US"/>
        </w:rPr>
        <w:t xml:space="preserve"> with limited resources may </w:t>
      </w:r>
      <w:r w:rsidR="00E656FD" w:rsidRPr="002733DF">
        <w:rPr>
          <w:rFonts w:ascii="Times New Roman" w:hAnsi="Times New Roman" w:cs="Times New Roman"/>
          <w:sz w:val="20"/>
          <w:szCs w:val="20"/>
          <w:lang w:val="en-US"/>
        </w:rPr>
        <w:t xml:space="preserve">consider working with </w:t>
      </w:r>
      <w:r w:rsidR="009178C3" w:rsidRPr="002733DF">
        <w:rPr>
          <w:rFonts w:ascii="Times New Roman" w:hAnsi="Times New Roman" w:cs="Times New Roman"/>
          <w:sz w:val="20"/>
          <w:szCs w:val="20"/>
          <w:lang w:val="en-US"/>
        </w:rPr>
        <w:t>external non-profit</w:t>
      </w:r>
      <w:r w:rsidR="00E656FD" w:rsidRPr="002733DF">
        <w:rPr>
          <w:rFonts w:ascii="Times New Roman" w:hAnsi="Times New Roman" w:cs="Times New Roman"/>
          <w:sz w:val="20"/>
          <w:szCs w:val="20"/>
          <w:lang w:val="en-US"/>
        </w:rPr>
        <w:t xml:space="preserve"> organizations</w:t>
      </w:r>
      <w:r w:rsidR="008135B1" w:rsidRPr="002733DF">
        <w:rPr>
          <w:rFonts w:ascii="Times New Roman" w:hAnsi="Times New Roman" w:cs="Times New Roman"/>
          <w:sz w:val="20"/>
          <w:szCs w:val="20"/>
          <w:lang w:val="en-US"/>
        </w:rPr>
        <w:t>,</w:t>
      </w:r>
      <w:r w:rsidR="009178C3" w:rsidRPr="002733DF">
        <w:rPr>
          <w:rFonts w:ascii="Times New Roman" w:hAnsi="Times New Roman" w:cs="Times New Roman"/>
          <w:sz w:val="20"/>
          <w:szCs w:val="20"/>
          <w:lang w:val="en-US"/>
        </w:rPr>
        <w:t xml:space="preserve"> </w:t>
      </w:r>
      <w:r w:rsidR="0006050E" w:rsidRPr="002733DF">
        <w:rPr>
          <w:rFonts w:ascii="Times New Roman" w:hAnsi="Times New Roman" w:cs="Times New Roman"/>
          <w:sz w:val="20"/>
          <w:szCs w:val="20"/>
          <w:lang w:val="en-US"/>
        </w:rPr>
        <w:t>which</w:t>
      </w:r>
      <w:r w:rsidR="009178C3" w:rsidRPr="002733DF">
        <w:rPr>
          <w:rFonts w:ascii="Times New Roman" w:hAnsi="Times New Roman" w:cs="Times New Roman"/>
          <w:sz w:val="20"/>
          <w:szCs w:val="20"/>
          <w:lang w:val="en-US"/>
        </w:rPr>
        <w:t xml:space="preserve"> can handle most of the logistics</w:t>
      </w:r>
      <w:r w:rsidR="00E656FD" w:rsidRPr="002733DF">
        <w:rPr>
          <w:rFonts w:ascii="Times New Roman" w:hAnsi="Times New Roman" w:cs="Times New Roman"/>
          <w:sz w:val="20"/>
          <w:szCs w:val="20"/>
          <w:lang w:val="en-US"/>
        </w:rPr>
        <w:t>.</w:t>
      </w:r>
      <w:r w:rsidR="002567F2" w:rsidRPr="002733DF">
        <w:rPr>
          <w:rFonts w:ascii="Times New Roman" w:hAnsi="Times New Roman" w:cs="Times New Roman"/>
          <w:sz w:val="20"/>
          <w:szCs w:val="20"/>
          <w:lang w:val="en-US"/>
        </w:rPr>
        <w:t xml:space="preserve"> </w:t>
      </w:r>
      <w:r w:rsidR="00E656FD" w:rsidRPr="002733DF">
        <w:rPr>
          <w:rFonts w:ascii="Times New Roman" w:hAnsi="Times New Roman" w:cs="Times New Roman"/>
          <w:sz w:val="20"/>
          <w:szCs w:val="20"/>
          <w:lang w:val="en-US"/>
        </w:rPr>
        <w:t>T</w:t>
      </w:r>
      <w:r w:rsidR="009178C3" w:rsidRPr="002733DF">
        <w:rPr>
          <w:rFonts w:ascii="Times New Roman" w:hAnsi="Times New Roman" w:cs="Times New Roman"/>
          <w:sz w:val="20"/>
          <w:szCs w:val="20"/>
          <w:lang w:val="en-US"/>
        </w:rPr>
        <w:t xml:space="preserve">hese </w:t>
      </w:r>
      <w:r w:rsidR="00E656FD" w:rsidRPr="002733DF">
        <w:rPr>
          <w:rFonts w:ascii="Times New Roman" w:hAnsi="Times New Roman" w:cs="Times New Roman"/>
          <w:sz w:val="20"/>
          <w:szCs w:val="20"/>
          <w:lang w:val="en-US"/>
        </w:rPr>
        <w:t xml:space="preserve">non-profit VITA </w:t>
      </w:r>
      <w:r w:rsidR="002567F2" w:rsidRPr="002733DF">
        <w:rPr>
          <w:rFonts w:ascii="Times New Roman" w:hAnsi="Times New Roman" w:cs="Times New Roman"/>
          <w:sz w:val="20"/>
          <w:szCs w:val="20"/>
          <w:lang w:val="en-US"/>
        </w:rPr>
        <w:t>spons</w:t>
      </w:r>
      <w:r w:rsidR="00E656FD" w:rsidRPr="002733DF">
        <w:rPr>
          <w:rFonts w:ascii="Times New Roman" w:hAnsi="Times New Roman" w:cs="Times New Roman"/>
          <w:sz w:val="20"/>
          <w:szCs w:val="20"/>
          <w:lang w:val="en-US"/>
        </w:rPr>
        <w:t>ors provide valuable resources from preparing</w:t>
      </w:r>
      <w:r w:rsidR="002567F2" w:rsidRPr="002733DF">
        <w:rPr>
          <w:rFonts w:ascii="Times New Roman" w:hAnsi="Times New Roman" w:cs="Times New Roman"/>
          <w:sz w:val="20"/>
          <w:szCs w:val="20"/>
          <w:lang w:val="en-US"/>
        </w:rPr>
        <w:t xml:space="preserve"> students </w:t>
      </w:r>
      <w:r w:rsidR="00E656FD" w:rsidRPr="002733DF">
        <w:rPr>
          <w:rFonts w:ascii="Times New Roman" w:hAnsi="Times New Roman" w:cs="Times New Roman"/>
          <w:sz w:val="20"/>
          <w:szCs w:val="20"/>
          <w:lang w:val="en-US"/>
        </w:rPr>
        <w:t>for the VITA certification to scheduling shifts and arranging venues for client</w:t>
      </w:r>
      <w:r w:rsidR="009309A8" w:rsidRPr="002733DF">
        <w:rPr>
          <w:rFonts w:ascii="Times New Roman" w:hAnsi="Times New Roman" w:cs="Times New Roman"/>
          <w:sz w:val="20"/>
          <w:szCs w:val="20"/>
          <w:lang w:val="en-US"/>
        </w:rPr>
        <w:t xml:space="preserve"> visits</w:t>
      </w:r>
      <w:r w:rsidR="002567F2" w:rsidRPr="002733DF">
        <w:rPr>
          <w:rFonts w:ascii="Times New Roman" w:hAnsi="Times New Roman" w:cs="Times New Roman"/>
          <w:sz w:val="20"/>
          <w:szCs w:val="20"/>
          <w:lang w:val="en-US"/>
        </w:rPr>
        <w:t>.</w:t>
      </w:r>
      <w:r w:rsidR="008833DA" w:rsidRPr="002733DF">
        <w:rPr>
          <w:rFonts w:ascii="Times New Roman" w:hAnsi="Times New Roman" w:cs="Times New Roman"/>
          <w:sz w:val="20"/>
          <w:szCs w:val="20"/>
          <w:lang w:val="en-US"/>
        </w:rPr>
        <w:t xml:space="preserve"> </w:t>
      </w:r>
      <w:r w:rsidR="008135B1" w:rsidRPr="002733DF">
        <w:rPr>
          <w:rFonts w:ascii="Times New Roman" w:hAnsi="Times New Roman" w:cs="Times New Roman"/>
          <w:sz w:val="20"/>
          <w:szCs w:val="20"/>
          <w:lang w:val="en-US"/>
        </w:rPr>
        <w:t xml:space="preserve">The </w:t>
      </w:r>
      <w:r w:rsidR="00252DD1" w:rsidRPr="002733DF">
        <w:rPr>
          <w:rFonts w:ascii="Times New Roman" w:hAnsi="Times New Roman" w:cs="Times New Roman"/>
          <w:sz w:val="20"/>
          <w:szCs w:val="20"/>
          <w:lang w:val="en-US"/>
        </w:rPr>
        <w:t>VITA experience has been shown to be associated with students’ tax knowledge, tax confidence, and confidence beyond tax knowledge (</w:t>
      </w:r>
      <w:proofErr w:type="spellStart"/>
      <w:r w:rsidR="00252DD1" w:rsidRPr="002733DF">
        <w:rPr>
          <w:rFonts w:ascii="Times New Roman" w:hAnsi="Times New Roman" w:cs="Times New Roman"/>
          <w:sz w:val="20"/>
          <w:szCs w:val="20"/>
          <w:lang w:val="en-US"/>
        </w:rPr>
        <w:t>Blanthrone</w:t>
      </w:r>
      <w:proofErr w:type="spellEnd"/>
      <w:r w:rsidR="00252DD1" w:rsidRPr="002733DF">
        <w:rPr>
          <w:rFonts w:ascii="Times New Roman" w:hAnsi="Times New Roman" w:cs="Times New Roman"/>
          <w:sz w:val="20"/>
          <w:szCs w:val="20"/>
          <w:lang w:val="en-US"/>
        </w:rPr>
        <w:t xml:space="preserve"> and Westin</w:t>
      </w:r>
      <w:r w:rsidR="001F79B5" w:rsidRPr="002733DF">
        <w:rPr>
          <w:rFonts w:ascii="Times New Roman" w:hAnsi="Times New Roman" w:cs="Times New Roman"/>
          <w:sz w:val="20"/>
          <w:szCs w:val="20"/>
          <w:lang w:val="en-US"/>
        </w:rPr>
        <w:t>,</w:t>
      </w:r>
      <w:r w:rsidR="00252DD1" w:rsidRPr="002733DF">
        <w:rPr>
          <w:rFonts w:ascii="Times New Roman" w:hAnsi="Times New Roman" w:cs="Times New Roman"/>
          <w:sz w:val="20"/>
          <w:szCs w:val="20"/>
          <w:lang w:val="en-US"/>
        </w:rPr>
        <w:t xml:space="preserve"> 2016). </w:t>
      </w:r>
      <w:r w:rsidR="009F7651" w:rsidRPr="002733DF">
        <w:rPr>
          <w:rFonts w:ascii="Times New Roman" w:hAnsi="Times New Roman" w:cs="Times New Roman"/>
          <w:sz w:val="20"/>
          <w:szCs w:val="20"/>
          <w:lang w:val="en-US"/>
        </w:rPr>
        <w:t xml:space="preserve">We believe that these recommendations will help young adults to better prepare themselves to face future tax challenges. </w:t>
      </w:r>
      <w:r w:rsidR="000251E2" w:rsidRPr="002733DF">
        <w:rPr>
          <w:rFonts w:ascii="Times New Roman" w:hAnsi="Times New Roman" w:cs="Times New Roman"/>
          <w:sz w:val="20"/>
          <w:szCs w:val="20"/>
          <w:lang w:val="en-US"/>
        </w:rPr>
        <w:t xml:space="preserve">Since </w:t>
      </w:r>
      <w:r w:rsidR="00752B09" w:rsidRPr="002733DF">
        <w:rPr>
          <w:rFonts w:ascii="Times New Roman" w:hAnsi="Times New Roman" w:cs="Times New Roman"/>
          <w:sz w:val="20"/>
          <w:szCs w:val="20"/>
          <w:lang w:val="en-US"/>
        </w:rPr>
        <w:t>our findings suggest</w:t>
      </w:r>
      <w:r w:rsidR="008833DA" w:rsidRPr="002733DF">
        <w:rPr>
          <w:rFonts w:ascii="Times New Roman" w:hAnsi="Times New Roman" w:cs="Times New Roman"/>
          <w:sz w:val="20"/>
          <w:szCs w:val="20"/>
          <w:lang w:val="en-US"/>
        </w:rPr>
        <w:t xml:space="preserve"> </w:t>
      </w:r>
      <w:r w:rsidR="00752B09" w:rsidRPr="002733DF">
        <w:rPr>
          <w:rFonts w:ascii="Times New Roman" w:hAnsi="Times New Roman" w:cs="Times New Roman"/>
          <w:sz w:val="20"/>
          <w:szCs w:val="20"/>
          <w:lang w:val="en-US"/>
        </w:rPr>
        <w:t xml:space="preserve">that </w:t>
      </w:r>
      <w:r w:rsidR="008833DA" w:rsidRPr="002733DF">
        <w:rPr>
          <w:rFonts w:ascii="Times New Roman" w:hAnsi="Times New Roman" w:cs="Times New Roman"/>
          <w:sz w:val="20"/>
          <w:szCs w:val="20"/>
          <w:lang w:val="en-US"/>
        </w:rPr>
        <w:t xml:space="preserve">there is </w:t>
      </w:r>
      <w:r w:rsidR="00016C50" w:rsidRPr="002733DF">
        <w:rPr>
          <w:rFonts w:ascii="Times New Roman" w:hAnsi="Times New Roman" w:cs="Times New Roman"/>
          <w:sz w:val="20"/>
          <w:szCs w:val="20"/>
          <w:lang w:val="en-US"/>
        </w:rPr>
        <w:t xml:space="preserve">much </w:t>
      </w:r>
      <w:r w:rsidR="008833DA" w:rsidRPr="002733DF">
        <w:rPr>
          <w:rFonts w:ascii="Times New Roman" w:hAnsi="Times New Roman" w:cs="Times New Roman"/>
          <w:sz w:val="20"/>
          <w:szCs w:val="20"/>
          <w:lang w:val="en-US"/>
        </w:rPr>
        <w:t>room to improve</w:t>
      </w:r>
      <w:r w:rsidR="00752B09" w:rsidRPr="002733DF">
        <w:rPr>
          <w:rFonts w:ascii="Times New Roman" w:hAnsi="Times New Roman" w:cs="Times New Roman"/>
          <w:sz w:val="20"/>
          <w:szCs w:val="20"/>
          <w:lang w:val="en-US"/>
        </w:rPr>
        <w:t xml:space="preserve"> students’ tax literacy</w:t>
      </w:r>
      <w:r w:rsidR="008833DA" w:rsidRPr="002733DF">
        <w:rPr>
          <w:rFonts w:ascii="Times New Roman" w:hAnsi="Times New Roman" w:cs="Times New Roman"/>
          <w:sz w:val="20"/>
          <w:szCs w:val="20"/>
          <w:lang w:val="en-US"/>
        </w:rPr>
        <w:t xml:space="preserve">, we </w:t>
      </w:r>
      <w:r w:rsidR="00752B09" w:rsidRPr="002733DF">
        <w:rPr>
          <w:rFonts w:ascii="Times New Roman" w:hAnsi="Times New Roman" w:cs="Times New Roman"/>
          <w:sz w:val="20"/>
          <w:szCs w:val="20"/>
          <w:lang w:val="en-US"/>
        </w:rPr>
        <w:t>hope</w:t>
      </w:r>
      <w:r w:rsidR="008833DA" w:rsidRPr="002733DF">
        <w:rPr>
          <w:rFonts w:ascii="Times New Roman" w:hAnsi="Times New Roman" w:cs="Times New Roman"/>
          <w:sz w:val="20"/>
          <w:szCs w:val="20"/>
          <w:lang w:val="en-US"/>
        </w:rPr>
        <w:t xml:space="preserve"> that </w:t>
      </w:r>
      <w:r w:rsidR="009F7651" w:rsidRPr="002733DF">
        <w:rPr>
          <w:rFonts w:ascii="Times New Roman" w:hAnsi="Times New Roman" w:cs="Times New Roman"/>
          <w:sz w:val="20"/>
          <w:szCs w:val="20"/>
          <w:lang w:val="en-US"/>
        </w:rPr>
        <w:t>this study bring</w:t>
      </w:r>
      <w:r w:rsidR="001F04AA" w:rsidRPr="002733DF">
        <w:rPr>
          <w:rFonts w:ascii="Times New Roman" w:hAnsi="Times New Roman" w:cs="Times New Roman"/>
          <w:sz w:val="20"/>
          <w:szCs w:val="20"/>
          <w:lang w:val="en-US"/>
        </w:rPr>
        <w:t>s</w:t>
      </w:r>
      <w:r w:rsidR="009F7651" w:rsidRPr="002733DF">
        <w:rPr>
          <w:rFonts w:ascii="Times New Roman" w:hAnsi="Times New Roman" w:cs="Times New Roman"/>
          <w:sz w:val="20"/>
          <w:szCs w:val="20"/>
          <w:lang w:val="en-US"/>
        </w:rPr>
        <w:t xml:space="preserve"> tax literacy to</w:t>
      </w:r>
      <w:r w:rsidR="00752B09" w:rsidRPr="002733DF">
        <w:rPr>
          <w:rFonts w:ascii="Times New Roman" w:hAnsi="Times New Roman" w:cs="Times New Roman"/>
          <w:sz w:val="20"/>
          <w:szCs w:val="20"/>
          <w:lang w:val="en-US"/>
        </w:rPr>
        <w:t xml:space="preserve"> public attention</w:t>
      </w:r>
      <w:r w:rsidR="00F0262E" w:rsidRPr="002733DF">
        <w:rPr>
          <w:rFonts w:ascii="Times New Roman" w:hAnsi="Times New Roman" w:cs="Times New Roman"/>
          <w:sz w:val="20"/>
          <w:szCs w:val="20"/>
          <w:lang w:val="en-US"/>
        </w:rPr>
        <w:t>.</w:t>
      </w:r>
      <w:r w:rsidR="002733DF">
        <w:rPr>
          <w:rFonts w:ascii="Times New Roman" w:hAnsi="Times New Roman" w:cs="Times New Roman"/>
          <w:sz w:val="20"/>
          <w:szCs w:val="20"/>
          <w:lang w:val="en-US"/>
        </w:rPr>
        <w:t xml:space="preserve">  </w:t>
      </w:r>
    </w:p>
    <w:p w14:paraId="1EB374B2" w14:textId="77777777" w:rsidR="00A9379D" w:rsidRPr="002733DF" w:rsidRDefault="00A9379D" w:rsidP="00C45D4F">
      <w:pPr>
        <w:rPr>
          <w:rFonts w:ascii="Times New Roman" w:hAnsi="Times New Roman" w:cs="Times New Roman"/>
          <w:sz w:val="20"/>
          <w:szCs w:val="20"/>
          <w:lang w:val="en-US"/>
        </w:rPr>
      </w:pPr>
    </w:p>
    <w:p w14:paraId="30BF8805" w14:textId="5A1AE157" w:rsidR="005F6CAA" w:rsidRPr="002733DF" w:rsidRDefault="00CB7052" w:rsidP="00C45D4F">
      <w:pPr>
        <w:rPr>
          <w:rFonts w:ascii="Times New Roman" w:hAnsi="Times New Roman" w:cs="Times New Roman"/>
          <w:b/>
          <w:sz w:val="20"/>
          <w:szCs w:val="20"/>
          <w:lang w:val="en-US"/>
        </w:rPr>
      </w:pPr>
      <w:r w:rsidRPr="002733DF">
        <w:rPr>
          <w:rFonts w:ascii="Times New Roman" w:hAnsi="Times New Roman" w:cs="Times New Roman"/>
          <w:b/>
          <w:sz w:val="20"/>
          <w:szCs w:val="20"/>
          <w:lang w:val="en-US"/>
        </w:rPr>
        <w:t>Conclusion</w:t>
      </w:r>
    </w:p>
    <w:p w14:paraId="3144ABA3" w14:textId="77777777" w:rsidR="002733DF" w:rsidRDefault="002733DF" w:rsidP="00C45D4F">
      <w:pPr>
        <w:rPr>
          <w:rFonts w:ascii="Times New Roman" w:hAnsi="Times New Roman" w:cs="Times New Roman"/>
          <w:sz w:val="20"/>
          <w:szCs w:val="20"/>
          <w:lang w:val="en-US"/>
        </w:rPr>
      </w:pPr>
    </w:p>
    <w:p w14:paraId="408FA0D6" w14:textId="12CF4060" w:rsidR="00CB7052" w:rsidRDefault="007A1BE4" w:rsidP="00C45D4F">
      <w:pPr>
        <w:rPr>
          <w:rFonts w:ascii="Times New Roman" w:hAnsi="Times New Roman" w:cs="Times New Roman"/>
          <w:sz w:val="20"/>
          <w:szCs w:val="20"/>
          <w:lang w:val="en-US"/>
        </w:rPr>
      </w:pPr>
      <w:r w:rsidRPr="002733DF">
        <w:rPr>
          <w:rFonts w:ascii="Times New Roman" w:hAnsi="Times New Roman" w:cs="Times New Roman"/>
          <w:sz w:val="20"/>
          <w:szCs w:val="20"/>
          <w:lang w:val="en-US"/>
        </w:rPr>
        <w:t>E</w:t>
      </w:r>
      <w:r w:rsidR="007B5023" w:rsidRPr="002733DF">
        <w:rPr>
          <w:rFonts w:ascii="Times New Roman" w:hAnsi="Times New Roman" w:cs="Times New Roman"/>
          <w:sz w:val="20"/>
          <w:szCs w:val="20"/>
          <w:lang w:val="en-US"/>
        </w:rPr>
        <w:t>ffective</w:t>
      </w:r>
      <w:r w:rsidR="00F72F78" w:rsidRPr="002733DF">
        <w:rPr>
          <w:rFonts w:ascii="Times New Roman" w:hAnsi="Times New Roman" w:cs="Times New Roman"/>
          <w:sz w:val="20"/>
          <w:szCs w:val="20"/>
          <w:lang w:val="en-US"/>
        </w:rPr>
        <w:t xml:space="preserve"> financial management</w:t>
      </w:r>
      <w:r w:rsidRPr="002733DF">
        <w:rPr>
          <w:rFonts w:ascii="Times New Roman" w:hAnsi="Times New Roman" w:cs="Times New Roman"/>
          <w:sz w:val="20"/>
          <w:szCs w:val="20"/>
          <w:lang w:val="en-US"/>
        </w:rPr>
        <w:t xml:space="preserve"> depends on financial literacy </w:t>
      </w:r>
      <w:r w:rsidR="00B31550" w:rsidRPr="002733DF">
        <w:rPr>
          <w:rFonts w:ascii="Times New Roman" w:hAnsi="Times New Roman" w:cs="Times New Roman"/>
          <w:sz w:val="20"/>
          <w:szCs w:val="20"/>
          <w:lang w:val="en-US"/>
        </w:rPr>
        <w:t>(Hilgert and Hogarth, 2003; Woodyard and Robb, 2016;</w:t>
      </w:r>
      <w:r w:rsidR="00F72F78" w:rsidRPr="002733DF">
        <w:rPr>
          <w:rFonts w:ascii="Times New Roman" w:hAnsi="Times New Roman" w:cs="Times New Roman"/>
          <w:sz w:val="20"/>
          <w:szCs w:val="20"/>
          <w:lang w:val="en-US"/>
        </w:rPr>
        <w:t xml:space="preserve"> </w:t>
      </w:r>
      <w:proofErr w:type="spellStart"/>
      <w:r w:rsidR="00F72F78" w:rsidRPr="002733DF">
        <w:rPr>
          <w:rFonts w:ascii="Times New Roman" w:hAnsi="Times New Roman" w:cs="Times New Roman"/>
          <w:sz w:val="20"/>
          <w:szCs w:val="20"/>
          <w:lang w:val="en-US"/>
        </w:rPr>
        <w:t>Bannier</w:t>
      </w:r>
      <w:proofErr w:type="spellEnd"/>
      <w:r w:rsidR="00F72F78" w:rsidRPr="002733DF">
        <w:rPr>
          <w:rFonts w:ascii="Times New Roman" w:hAnsi="Times New Roman" w:cs="Times New Roman"/>
          <w:sz w:val="20"/>
          <w:szCs w:val="20"/>
          <w:lang w:val="en-US"/>
        </w:rPr>
        <w:t xml:space="preserve"> and Schwarz</w:t>
      </w:r>
      <w:r w:rsidR="00B31550" w:rsidRPr="002733DF">
        <w:rPr>
          <w:rFonts w:ascii="Times New Roman" w:hAnsi="Times New Roman" w:cs="Times New Roman"/>
          <w:sz w:val="20"/>
          <w:szCs w:val="20"/>
          <w:lang w:val="en-US"/>
        </w:rPr>
        <w:t>,</w:t>
      </w:r>
      <w:r w:rsidR="00F72F78" w:rsidRPr="002733DF">
        <w:rPr>
          <w:rFonts w:ascii="Times New Roman" w:hAnsi="Times New Roman" w:cs="Times New Roman"/>
          <w:sz w:val="20"/>
          <w:szCs w:val="20"/>
          <w:lang w:val="en-US"/>
        </w:rPr>
        <w:t xml:space="preserve"> 2018). In the past two decades, f</w:t>
      </w:r>
      <w:r w:rsidR="005F6CAA" w:rsidRPr="002733DF">
        <w:rPr>
          <w:rFonts w:ascii="Times New Roman" w:hAnsi="Times New Roman" w:cs="Times New Roman"/>
          <w:sz w:val="20"/>
          <w:szCs w:val="20"/>
          <w:lang w:val="en-US"/>
        </w:rPr>
        <w:t>inancial literacy has gain</w:t>
      </w:r>
      <w:r w:rsidR="00FB6695" w:rsidRPr="002733DF">
        <w:rPr>
          <w:rFonts w:ascii="Times New Roman" w:hAnsi="Times New Roman" w:cs="Times New Roman"/>
          <w:sz w:val="20"/>
          <w:szCs w:val="20"/>
          <w:lang w:val="en-US"/>
        </w:rPr>
        <w:t xml:space="preserve">ed </w:t>
      </w:r>
      <w:r w:rsidR="00DB7743" w:rsidRPr="002733DF">
        <w:rPr>
          <w:rFonts w:ascii="Times New Roman" w:hAnsi="Times New Roman" w:cs="Times New Roman"/>
          <w:sz w:val="20"/>
          <w:szCs w:val="20"/>
          <w:lang w:val="en-US"/>
        </w:rPr>
        <w:t xml:space="preserve">substantial </w:t>
      </w:r>
      <w:r w:rsidR="00465A1A" w:rsidRPr="002733DF">
        <w:rPr>
          <w:rFonts w:ascii="Times New Roman" w:hAnsi="Times New Roman" w:cs="Times New Roman"/>
          <w:sz w:val="20"/>
          <w:szCs w:val="20"/>
          <w:lang w:val="en-US"/>
        </w:rPr>
        <w:t xml:space="preserve">attention </w:t>
      </w:r>
      <w:r w:rsidR="00FB6695" w:rsidRPr="002733DF">
        <w:rPr>
          <w:rFonts w:ascii="Times New Roman" w:hAnsi="Times New Roman" w:cs="Times New Roman"/>
          <w:sz w:val="20"/>
          <w:szCs w:val="20"/>
          <w:lang w:val="en-US"/>
        </w:rPr>
        <w:t xml:space="preserve">and </w:t>
      </w:r>
      <w:r w:rsidR="004516D5" w:rsidRPr="002733DF">
        <w:rPr>
          <w:rFonts w:ascii="Times New Roman" w:hAnsi="Times New Roman" w:cs="Times New Roman"/>
          <w:sz w:val="20"/>
          <w:szCs w:val="20"/>
          <w:lang w:val="en-US"/>
        </w:rPr>
        <w:t>wa</w:t>
      </w:r>
      <w:r w:rsidR="00465A1A" w:rsidRPr="002733DF">
        <w:rPr>
          <w:rFonts w:ascii="Times New Roman" w:hAnsi="Times New Roman" w:cs="Times New Roman"/>
          <w:sz w:val="20"/>
          <w:szCs w:val="20"/>
          <w:lang w:val="en-US"/>
        </w:rPr>
        <w:t xml:space="preserve">s </w:t>
      </w:r>
      <w:r w:rsidR="00DB7743" w:rsidRPr="002733DF">
        <w:rPr>
          <w:rFonts w:ascii="Times New Roman" w:hAnsi="Times New Roman" w:cs="Times New Roman"/>
          <w:sz w:val="20"/>
          <w:szCs w:val="20"/>
          <w:lang w:val="en-US"/>
        </w:rPr>
        <w:t xml:space="preserve">listed </w:t>
      </w:r>
      <w:r w:rsidR="00FB6695" w:rsidRPr="002733DF">
        <w:rPr>
          <w:rFonts w:ascii="Times New Roman" w:hAnsi="Times New Roman" w:cs="Times New Roman"/>
          <w:sz w:val="20"/>
          <w:szCs w:val="20"/>
          <w:lang w:val="en-US"/>
        </w:rPr>
        <w:t>on the agenda of the President’s Advisory Council in 2008 during the Bush Administration</w:t>
      </w:r>
      <w:r w:rsidR="001F04AA" w:rsidRPr="002733DF">
        <w:rPr>
          <w:rFonts w:ascii="Times New Roman" w:hAnsi="Times New Roman" w:cs="Times New Roman"/>
          <w:sz w:val="20"/>
          <w:szCs w:val="20"/>
          <w:lang w:val="en-US"/>
        </w:rPr>
        <w:t>,</w:t>
      </w:r>
      <w:r w:rsidR="00FB6695" w:rsidRPr="002733DF">
        <w:rPr>
          <w:rFonts w:ascii="Times New Roman" w:hAnsi="Times New Roman" w:cs="Times New Roman"/>
          <w:sz w:val="20"/>
          <w:szCs w:val="20"/>
          <w:lang w:val="en-US"/>
        </w:rPr>
        <w:t xml:space="preserve"> and </w:t>
      </w:r>
      <w:r w:rsidR="000251E2" w:rsidRPr="002733DF">
        <w:rPr>
          <w:rFonts w:ascii="Times New Roman" w:hAnsi="Times New Roman" w:cs="Times New Roman"/>
          <w:sz w:val="20"/>
          <w:szCs w:val="20"/>
          <w:lang w:val="en-US"/>
        </w:rPr>
        <w:t xml:space="preserve">again </w:t>
      </w:r>
      <w:r w:rsidR="00FB6695" w:rsidRPr="002733DF">
        <w:rPr>
          <w:rFonts w:ascii="Times New Roman" w:hAnsi="Times New Roman" w:cs="Times New Roman"/>
          <w:sz w:val="20"/>
          <w:szCs w:val="20"/>
          <w:lang w:val="en-US"/>
        </w:rPr>
        <w:t xml:space="preserve">in 2010 during the Obama Administration. There is, however, limited discussion </w:t>
      </w:r>
      <w:r w:rsidR="00465A1A" w:rsidRPr="002733DF">
        <w:rPr>
          <w:rFonts w:ascii="Times New Roman" w:hAnsi="Times New Roman" w:cs="Times New Roman"/>
          <w:sz w:val="20"/>
          <w:szCs w:val="20"/>
          <w:lang w:val="en-US"/>
        </w:rPr>
        <w:t xml:space="preserve">regarding </w:t>
      </w:r>
      <w:r w:rsidR="00FB6695" w:rsidRPr="002733DF">
        <w:rPr>
          <w:rFonts w:ascii="Times New Roman" w:hAnsi="Times New Roman" w:cs="Times New Roman"/>
          <w:sz w:val="20"/>
          <w:szCs w:val="20"/>
          <w:lang w:val="en-US"/>
        </w:rPr>
        <w:t>tax literacy</w:t>
      </w:r>
      <w:r w:rsidR="00465A1A" w:rsidRPr="002733DF">
        <w:rPr>
          <w:rFonts w:ascii="Times New Roman" w:hAnsi="Times New Roman" w:cs="Times New Roman"/>
          <w:sz w:val="20"/>
          <w:szCs w:val="20"/>
          <w:lang w:val="en-US"/>
        </w:rPr>
        <w:t xml:space="preserve"> awareness</w:t>
      </w:r>
      <w:r w:rsidR="000B528F" w:rsidRPr="002733DF">
        <w:rPr>
          <w:rFonts w:ascii="Times New Roman" w:hAnsi="Times New Roman" w:cs="Times New Roman"/>
          <w:sz w:val="20"/>
          <w:szCs w:val="20"/>
          <w:lang w:val="en-US"/>
        </w:rPr>
        <w:t xml:space="preserve">. </w:t>
      </w:r>
      <w:r w:rsidR="00FB6695" w:rsidRPr="002733DF">
        <w:rPr>
          <w:rFonts w:ascii="Times New Roman" w:hAnsi="Times New Roman" w:cs="Times New Roman"/>
          <w:sz w:val="20"/>
          <w:szCs w:val="20"/>
          <w:lang w:val="en-US"/>
        </w:rPr>
        <w:t xml:space="preserve">Taxpayers’ understanding of what </w:t>
      </w:r>
      <w:proofErr w:type="gramStart"/>
      <w:r w:rsidR="00FB6695" w:rsidRPr="002733DF">
        <w:rPr>
          <w:rFonts w:ascii="Times New Roman" w:hAnsi="Times New Roman" w:cs="Times New Roman"/>
          <w:sz w:val="20"/>
          <w:szCs w:val="20"/>
          <w:lang w:val="en-US"/>
        </w:rPr>
        <w:t>is taxable, how different incomes</w:t>
      </w:r>
      <w:proofErr w:type="gramEnd"/>
      <w:r w:rsidR="00FB6695" w:rsidRPr="002733DF">
        <w:rPr>
          <w:rFonts w:ascii="Times New Roman" w:hAnsi="Times New Roman" w:cs="Times New Roman"/>
          <w:sz w:val="20"/>
          <w:szCs w:val="20"/>
          <w:lang w:val="en-US"/>
        </w:rPr>
        <w:t xml:space="preserve"> are taxed, and what </w:t>
      </w:r>
      <w:r w:rsidR="00465A1A" w:rsidRPr="002733DF">
        <w:rPr>
          <w:rFonts w:ascii="Times New Roman" w:hAnsi="Times New Roman" w:cs="Times New Roman"/>
          <w:sz w:val="20"/>
          <w:szCs w:val="20"/>
          <w:lang w:val="en-US"/>
        </w:rPr>
        <w:t xml:space="preserve">is </w:t>
      </w:r>
      <w:r w:rsidR="00FB6695" w:rsidRPr="002733DF">
        <w:rPr>
          <w:rFonts w:ascii="Times New Roman" w:hAnsi="Times New Roman" w:cs="Times New Roman"/>
          <w:sz w:val="20"/>
          <w:szCs w:val="20"/>
          <w:lang w:val="en-US"/>
        </w:rPr>
        <w:t>deductible significantly affect</w:t>
      </w:r>
      <w:r w:rsidR="00DB7743" w:rsidRPr="002733DF">
        <w:rPr>
          <w:rFonts w:ascii="Times New Roman" w:hAnsi="Times New Roman" w:cs="Times New Roman"/>
          <w:sz w:val="20"/>
          <w:szCs w:val="20"/>
          <w:lang w:val="en-US"/>
        </w:rPr>
        <w:t>s</w:t>
      </w:r>
      <w:r w:rsidR="00FB6695" w:rsidRPr="002733DF">
        <w:rPr>
          <w:rFonts w:ascii="Times New Roman" w:hAnsi="Times New Roman" w:cs="Times New Roman"/>
          <w:sz w:val="20"/>
          <w:szCs w:val="20"/>
          <w:lang w:val="en-US"/>
        </w:rPr>
        <w:t xml:space="preserve"> the outcome of their financial planning.</w:t>
      </w:r>
      <w:r w:rsidR="007B5023" w:rsidRPr="002733DF">
        <w:rPr>
          <w:rFonts w:ascii="Times New Roman" w:hAnsi="Times New Roman" w:cs="Times New Roman"/>
          <w:sz w:val="20"/>
          <w:szCs w:val="20"/>
          <w:lang w:val="en-US"/>
        </w:rPr>
        <w:t xml:space="preserve"> For young adults who start to generate taxable income</w:t>
      </w:r>
      <w:r w:rsidR="00DB7743" w:rsidRPr="002733DF">
        <w:rPr>
          <w:rFonts w:ascii="Times New Roman" w:hAnsi="Times New Roman" w:cs="Times New Roman"/>
          <w:sz w:val="20"/>
          <w:szCs w:val="20"/>
          <w:lang w:val="en-US"/>
        </w:rPr>
        <w:t xml:space="preserve"> </w:t>
      </w:r>
      <w:r w:rsidR="007B5023" w:rsidRPr="002733DF">
        <w:rPr>
          <w:rFonts w:ascii="Times New Roman" w:hAnsi="Times New Roman" w:cs="Times New Roman"/>
          <w:sz w:val="20"/>
          <w:szCs w:val="20"/>
          <w:lang w:val="en-US"/>
        </w:rPr>
        <w:t xml:space="preserve">and </w:t>
      </w:r>
      <w:r w:rsidR="007A7EE6" w:rsidRPr="002733DF">
        <w:rPr>
          <w:rFonts w:ascii="Times New Roman" w:hAnsi="Times New Roman" w:cs="Times New Roman"/>
          <w:sz w:val="20"/>
          <w:szCs w:val="20"/>
          <w:lang w:val="en-US"/>
        </w:rPr>
        <w:t xml:space="preserve">are consequently </w:t>
      </w:r>
      <w:r w:rsidR="007B5023" w:rsidRPr="002733DF">
        <w:rPr>
          <w:rFonts w:ascii="Times New Roman" w:hAnsi="Times New Roman" w:cs="Times New Roman"/>
          <w:sz w:val="20"/>
          <w:szCs w:val="20"/>
          <w:lang w:val="en-US"/>
        </w:rPr>
        <w:t>exposed to tax return</w:t>
      </w:r>
      <w:r w:rsidR="00F0262E" w:rsidRPr="002733DF">
        <w:rPr>
          <w:rFonts w:ascii="Times New Roman" w:hAnsi="Times New Roman" w:cs="Times New Roman"/>
          <w:sz w:val="20"/>
          <w:szCs w:val="20"/>
          <w:lang w:val="en-US"/>
        </w:rPr>
        <w:t>s</w:t>
      </w:r>
      <w:r w:rsidR="007B5023" w:rsidRPr="002733DF">
        <w:rPr>
          <w:rFonts w:ascii="Times New Roman" w:hAnsi="Times New Roman" w:cs="Times New Roman"/>
          <w:sz w:val="20"/>
          <w:szCs w:val="20"/>
          <w:lang w:val="en-US"/>
        </w:rPr>
        <w:t>, understand</w:t>
      </w:r>
      <w:r w:rsidR="00AD7C49" w:rsidRPr="002733DF">
        <w:rPr>
          <w:rFonts w:ascii="Times New Roman" w:hAnsi="Times New Roman" w:cs="Times New Roman"/>
          <w:sz w:val="20"/>
          <w:szCs w:val="20"/>
          <w:lang w:val="en-US"/>
        </w:rPr>
        <w:t>ing</w:t>
      </w:r>
      <w:r w:rsidR="007B5023" w:rsidRPr="002733DF">
        <w:rPr>
          <w:rFonts w:ascii="Times New Roman" w:hAnsi="Times New Roman" w:cs="Times New Roman"/>
          <w:sz w:val="20"/>
          <w:szCs w:val="20"/>
          <w:lang w:val="en-US"/>
        </w:rPr>
        <w:t xml:space="preserve"> basic tax concepts </w:t>
      </w:r>
      <w:r w:rsidR="00DB7743" w:rsidRPr="002733DF">
        <w:rPr>
          <w:rFonts w:ascii="Times New Roman" w:hAnsi="Times New Roman" w:cs="Times New Roman"/>
          <w:sz w:val="20"/>
          <w:szCs w:val="20"/>
          <w:lang w:val="en-US"/>
        </w:rPr>
        <w:t xml:space="preserve">also </w:t>
      </w:r>
      <w:r w:rsidR="007B5023" w:rsidRPr="002733DF">
        <w:rPr>
          <w:rFonts w:ascii="Times New Roman" w:hAnsi="Times New Roman" w:cs="Times New Roman"/>
          <w:sz w:val="20"/>
          <w:szCs w:val="20"/>
          <w:lang w:val="en-US"/>
        </w:rPr>
        <w:t>help</w:t>
      </w:r>
      <w:r w:rsidR="00DB7743" w:rsidRPr="002733DF">
        <w:rPr>
          <w:rFonts w:ascii="Times New Roman" w:hAnsi="Times New Roman" w:cs="Times New Roman"/>
          <w:sz w:val="20"/>
          <w:szCs w:val="20"/>
          <w:lang w:val="en-US"/>
        </w:rPr>
        <w:t>s</w:t>
      </w:r>
      <w:r w:rsidR="007B5023" w:rsidRPr="002733DF">
        <w:rPr>
          <w:rFonts w:ascii="Times New Roman" w:hAnsi="Times New Roman" w:cs="Times New Roman"/>
          <w:sz w:val="20"/>
          <w:szCs w:val="20"/>
          <w:lang w:val="en-US"/>
        </w:rPr>
        <w:t xml:space="preserve"> them better prepare for future financial success.</w:t>
      </w:r>
      <w:r w:rsidR="00AD7C49" w:rsidRPr="002733DF">
        <w:rPr>
          <w:rFonts w:ascii="Times New Roman" w:hAnsi="Times New Roman" w:cs="Times New Roman"/>
          <w:sz w:val="20"/>
          <w:szCs w:val="20"/>
          <w:lang w:val="en-US"/>
        </w:rPr>
        <w:t xml:space="preserve"> </w:t>
      </w:r>
      <w:r w:rsidR="00CE343E" w:rsidRPr="002733DF">
        <w:rPr>
          <w:rFonts w:ascii="Times New Roman" w:hAnsi="Times New Roman" w:cs="Times New Roman"/>
          <w:sz w:val="20"/>
          <w:szCs w:val="20"/>
          <w:lang w:val="en-US"/>
        </w:rPr>
        <w:t>In addition to actual financial knowledge,</w:t>
      </w:r>
      <w:r w:rsidR="00AD7C49" w:rsidRPr="002733DF">
        <w:rPr>
          <w:rFonts w:ascii="Times New Roman" w:hAnsi="Times New Roman" w:cs="Times New Roman"/>
          <w:sz w:val="20"/>
          <w:szCs w:val="20"/>
          <w:lang w:val="en-US"/>
        </w:rPr>
        <w:t xml:space="preserve"> prior </w:t>
      </w:r>
      <w:r w:rsidR="00F0262E" w:rsidRPr="002733DF">
        <w:rPr>
          <w:rFonts w:ascii="Times New Roman" w:hAnsi="Times New Roman" w:cs="Times New Roman"/>
          <w:sz w:val="20"/>
          <w:szCs w:val="20"/>
          <w:lang w:val="en-US"/>
        </w:rPr>
        <w:t>studies</w:t>
      </w:r>
      <w:r w:rsidR="00AD7C49" w:rsidRPr="002733DF">
        <w:rPr>
          <w:rFonts w:ascii="Times New Roman" w:hAnsi="Times New Roman" w:cs="Times New Roman"/>
          <w:sz w:val="20"/>
          <w:szCs w:val="20"/>
          <w:lang w:val="en-US"/>
        </w:rPr>
        <w:t xml:space="preserve"> </w:t>
      </w:r>
      <w:r w:rsidR="007A7EE6" w:rsidRPr="002733DF">
        <w:rPr>
          <w:rFonts w:ascii="Times New Roman" w:hAnsi="Times New Roman" w:cs="Times New Roman"/>
          <w:sz w:val="20"/>
          <w:szCs w:val="20"/>
          <w:lang w:val="en-US"/>
        </w:rPr>
        <w:t xml:space="preserve">demonstrate </w:t>
      </w:r>
      <w:r w:rsidR="00AD7C49" w:rsidRPr="002733DF">
        <w:rPr>
          <w:rFonts w:ascii="Times New Roman" w:hAnsi="Times New Roman" w:cs="Times New Roman"/>
          <w:sz w:val="20"/>
          <w:szCs w:val="20"/>
          <w:lang w:val="en-US"/>
        </w:rPr>
        <w:t xml:space="preserve">that financial confidence plays an important role in </w:t>
      </w:r>
      <w:r w:rsidR="00E9556E" w:rsidRPr="002733DF">
        <w:rPr>
          <w:rFonts w:ascii="Times New Roman" w:hAnsi="Times New Roman" w:cs="Times New Roman"/>
          <w:sz w:val="20"/>
          <w:szCs w:val="20"/>
          <w:lang w:val="en-US"/>
        </w:rPr>
        <w:t>financial planning</w:t>
      </w:r>
      <w:r w:rsidR="00826D1E" w:rsidRPr="002733DF">
        <w:rPr>
          <w:rFonts w:ascii="Times New Roman" w:hAnsi="Times New Roman" w:cs="Times New Roman"/>
          <w:sz w:val="20"/>
          <w:szCs w:val="20"/>
          <w:lang w:val="en-US"/>
        </w:rPr>
        <w:t xml:space="preserve"> satisfaction</w:t>
      </w:r>
      <w:r w:rsidR="00AD7C49" w:rsidRPr="002733DF">
        <w:rPr>
          <w:rFonts w:ascii="Times New Roman" w:hAnsi="Times New Roman" w:cs="Times New Roman"/>
          <w:sz w:val="20"/>
          <w:szCs w:val="20"/>
          <w:lang w:val="en-US"/>
        </w:rPr>
        <w:t xml:space="preserve"> (Atlas et al.</w:t>
      </w:r>
      <w:r w:rsidR="00B31550" w:rsidRPr="002733DF">
        <w:rPr>
          <w:rFonts w:ascii="Times New Roman" w:hAnsi="Times New Roman" w:cs="Times New Roman"/>
          <w:sz w:val="20"/>
          <w:szCs w:val="20"/>
          <w:lang w:val="en-US"/>
        </w:rPr>
        <w:t>,</w:t>
      </w:r>
      <w:r w:rsidR="00AD7C49" w:rsidRPr="002733DF">
        <w:rPr>
          <w:rFonts w:ascii="Times New Roman" w:hAnsi="Times New Roman" w:cs="Times New Roman"/>
          <w:sz w:val="20"/>
          <w:szCs w:val="20"/>
          <w:lang w:val="en-US"/>
        </w:rPr>
        <w:t xml:space="preserve"> 2019). Similarly, students who perceive themselves to have proper tax knowledge or </w:t>
      </w:r>
      <w:r w:rsidR="007A7EE6" w:rsidRPr="002733DF">
        <w:rPr>
          <w:rFonts w:ascii="Times New Roman" w:hAnsi="Times New Roman" w:cs="Times New Roman"/>
          <w:sz w:val="20"/>
          <w:szCs w:val="20"/>
          <w:lang w:val="en-US"/>
        </w:rPr>
        <w:t xml:space="preserve">who are </w:t>
      </w:r>
      <w:r w:rsidR="00AD7C49" w:rsidRPr="002733DF">
        <w:rPr>
          <w:rFonts w:ascii="Times New Roman" w:hAnsi="Times New Roman" w:cs="Times New Roman"/>
          <w:sz w:val="20"/>
          <w:szCs w:val="20"/>
          <w:lang w:val="en-US"/>
        </w:rPr>
        <w:t xml:space="preserve">confident </w:t>
      </w:r>
      <w:r w:rsidR="00CE343E" w:rsidRPr="002733DF">
        <w:rPr>
          <w:rFonts w:ascii="Times New Roman" w:hAnsi="Times New Roman" w:cs="Times New Roman"/>
          <w:sz w:val="20"/>
          <w:szCs w:val="20"/>
          <w:lang w:val="en-US"/>
        </w:rPr>
        <w:t>in their own</w:t>
      </w:r>
      <w:r w:rsidR="005952F1" w:rsidRPr="002733DF">
        <w:rPr>
          <w:rFonts w:ascii="Times New Roman" w:hAnsi="Times New Roman" w:cs="Times New Roman"/>
          <w:sz w:val="20"/>
          <w:szCs w:val="20"/>
          <w:lang w:val="en-US"/>
        </w:rPr>
        <w:t xml:space="preserve"> </w:t>
      </w:r>
      <w:r w:rsidR="00AD7C49" w:rsidRPr="002733DF">
        <w:rPr>
          <w:rFonts w:ascii="Times New Roman" w:hAnsi="Times New Roman" w:cs="Times New Roman"/>
          <w:sz w:val="20"/>
          <w:szCs w:val="20"/>
          <w:lang w:val="en-US"/>
        </w:rPr>
        <w:t>tax</w:t>
      </w:r>
      <w:r w:rsidR="00CE343E" w:rsidRPr="002733DF">
        <w:rPr>
          <w:rFonts w:ascii="Times New Roman" w:hAnsi="Times New Roman" w:cs="Times New Roman"/>
          <w:sz w:val="20"/>
          <w:szCs w:val="20"/>
          <w:lang w:val="en-US"/>
        </w:rPr>
        <w:t xml:space="preserve"> knowledge</w:t>
      </w:r>
      <w:r w:rsidR="00AD7C49" w:rsidRPr="002733DF">
        <w:rPr>
          <w:rFonts w:ascii="Times New Roman" w:hAnsi="Times New Roman" w:cs="Times New Roman"/>
          <w:sz w:val="20"/>
          <w:szCs w:val="20"/>
          <w:lang w:val="en-US"/>
        </w:rPr>
        <w:t xml:space="preserve"> may be </w:t>
      </w:r>
      <w:r w:rsidR="001942DB" w:rsidRPr="002733DF">
        <w:rPr>
          <w:rFonts w:ascii="Times New Roman" w:hAnsi="Times New Roman" w:cs="Times New Roman"/>
          <w:sz w:val="20"/>
          <w:szCs w:val="20"/>
          <w:lang w:val="en-US"/>
        </w:rPr>
        <w:t>less stressed</w:t>
      </w:r>
      <w:r w:rsidR="00AD7C49" w:rsidRPr="002733DF">
        <w:rPr>
          <w:rFonts w:ascii="Times New Roman" w:hAnsi="Times New Roman" w:cs="Times New Roman"/>
          <w:sz w:val="20"/>
          <w:szCs w:val="20"/>
          <w:lang w:val="en-US"/>
        </w:rPr>
        <w:t xml:space="preserve"> in handling their tax affairs. For college educators, it is important to know what determines students’ tax literacy and tax confidence</w:t>
      </w:r>
      <w:r w:rsidR="007A7EE6" w:rsidRPr="002733DF">
        <w:rPr>
          <w:rFonts w:ascii="Times New Roman" w:hAnsi="Times New Roman" w:cs="Times New Roman"/>
          <w:sz w:val="20"/>
          <w:szCs w:val="20"/>
          <w:lang w:val="en-US"/>
        </w:rPr>
        <w:t>,</w:t>
      </w:r>
      <w:r w:rsidR="00AD7C49" w:rsidRPr="002733DF">
        <w:rPr>
          <w:rFonts w:ascii="Times New Roman" w:hAnsi="Times New Roman" w:cs="Times New Roman"/>
          <w:sz w:val="20"/>
          <w:szCs w:val="20"/>
          <w:lang w:val="en-US"/>
        </w:rPr>
        <w:t xml:space="preserve"> </w:t>
      </w:r>
      <w:r w:rsidR="007A7EE6" w:rsidRPr="002733DF">
        <w:rPr>
          <w:rFonts w:ascii="Times New Roman" w:hAnsi="Times New Roman" w:cs="Times New Roman"/>
          <w:sz w:val="20"/>
          <w:szCs w:val="20"/>
          <w:lang w:val="en-US"/>
        </w:rPr>
        <w:t xml:space="preserve">as well as </w:t>
      </w:r>
      <w:r w:rsidR="00F0262E" w:rsidRPr="002733DF">
        <w:rPr>
          <w:rFonts w:ascii="Times New Roman" w:hAnsi="Times New Roman" w:cs="Times New Roman"/>
          <w:sz w:val="20"/>
          <w:szCs w:val="20"/>
          <w:lang w:val="en-US"/>
        </w:rPr>
        <w:t>what</w:t>
      </w:r>
      <w:r w:rsidR="00AD7C49" w:rsidRPr="002733DF">
        <w:rPr>
          <w:rFonts w:ascii="Times New Roman" w:hAnsi="Times New Roman" w:cs="Times New Roman"/>
          <w:sz w:val="20"/>
          <w:szCs w:val="20"/>
          <w:lang w:val="en-US"/>
        </w:rPr>
        <w:t xml:space="preserve"> can </w:t>
      </w:r>
      <w:r w:rsidR="007A7EE6" w:rsidRPr="002733DF">
        <w:rPr>
          <w:rFonts w:ascii="Times New Roman" w:hAnsi="Times New Roman" w:cs="Times New Roman"/>
          <w:sz w:val="20"/>
          <w:szCs w:val="20"/>
          <w:lang w:val="en-US"/>
        </w:rPr>
        <w:t xml:space="preserve">be </w:t>
      </w:r>
      <w:r w:rsidR="00AD7C49" w:rsidRPr="002733DF">
        <w:rPr>
          <w:rFonts w:ascii="Times New Roman" w:hAnsi="Times New Roman" w:cs="Times New Roman"/>
          <w:sz w:val="20"/>
          <w:szCs w:val="20"/>
          <w:lang w:val="en-US"/>
        </w:rPr>
        <w:t>do</w:t>
      </w:r>
      <w:r w:rsidR="007A7EE6" w:rsidRPr="002733DF">
        <w:rPr>
          <w:rFonts w:ascii="Times New Roman" w:hAnsi="Times New Roman" w:cs="Times New Roman"/>
          <w:sz w:val="20"/>
          <w:szCs w:val="20"/>
          <w:lang w:val="en-US"/>
        </w:rPr>
        <w:t>ne</w:t>
      </w:r>
      <w:r w:rsidR="00AD7C49" w:rsidRPr="002733DF">
        <w:rPr>
          <w:rFonts w:ascii="Times New Roman" w:hAnsi="Times New Roman" w:cs="Times New Roman"/>
          <w:sz w:val="20"/>
          <w:szCs w:val="20"/>
          <w:lang w:val="en-US"/>
        </w:rPr>
        <w:t xml:space="preserve"> to improve them.</w:t>
      </w:r>
      <w:r w:rsidR="002733DF">
        <w:rPr>
          <w:rFonts w:ascii="Times New Roman" w:hAnsi="Times New Roman" w:cs="Times New Roman"/>
          <w:sz w:val="20"/>
          <w:szCs w:val="20"/>
          <w:lang w:val="en-US"/>
        </w:rPr>
        <w:t xml:space="preserve">  </w:t>
      </w:r>
    </w:p>
    <w:p w14:paraId="1BADD268" w14:textId="77777777" w:rsidR="002733DF" w:rsidRPr="002733DF" w:rsidRDefault="002733DF" w:rsidP="00C45D4F">
      <w:pPr>
        <w:rPr>
          <w:rFonts w:ascii="Times New Roman" w:hAnsi="Times New Roman" w:cs="Times New Roman"/>
          <w:sz w:val="20"/>
          <w:szCs w:val="20"/>
          <w:lang w:val="en-US"/>
        </w:rPr>
      </w:pPr>
    </w:p>
    <w:p w14:paraId="34C77E83" w14:textId="45C35ED9" w:rsidR="009C1A5D" w:rsidRDefault="00AD7C49" w:rsidP="00C45D4F">
      <w:pPr>
        <w:rPr>
          <w:rFonts w:ascii="Times New Roman" w:hAnsi="Times New Roman" w:cs="Times New Roman"/>
          <w:sz w:val="20"/>
          <w:szCs w:val="20"/>
          <w:lang w:val="en-US"/>
        </w:rPr>
      </w:pPr>
      <w:r w:rsidRPr="002733DF">
        <w:rPr>
          <w:rFonts w:ascii="Times New Roman" w:hAnsi="Times New Roman" w:cs="Times New Roman"/>
          <w:sz w:val="20"/>
          <w:szCs w:val="20"/>
          <w:lang w:val="en-US"/>
        </w:rPr>
        <w:t>This study survey</w:t>
      </w:r>
      <w:r w:rsidR="001F04AA" w:rsidRPr="002733DF">
        <w:rPr>
          <w:rFonts w:ascii="Times New Roman" w:hAnsi="Times New Roman" w:cs="Times New Roman"/>
          <w:sz w:val="20"/>
          <w:szCs w:val="20"/>
          <w:lang w:val="en-US"/>
        </w:rPr>
        <w:t>ed</w:t>
      </w:r>
      <w:r w:rsidRPr="002733DF">
        <w:rPr>
          <w:rFonts w:ascii="Times New Roman" w:hAnsi="Times New Roman" w:cs="Times New Roman"/>
          <w:sz w:val="20"/>
          <w:szCs w:val="20"/>
          <w:lang w:val="en-US"/>
        </w:rPr>
        <w:t xml:space="preserve"> college students to gauge their tax literacy and tax confidence. </w:t>
      </w:r>
      <w:proofErr w:type="gramStart"/>
      <w:r w:rsidR="007A7EE6" w:rsidRPr="002733DF">
        <w:rPr>
          <w:rFonts w:ascii="Times New Roman" w:hAnsi="Times New Roman" w:cs="Times New Roman"/>
          <w:sz w:val="20"/>
          <w:szCs w:val="20"/>
          <w:lang w:val="en-US"/>
        </w:rPr>
        <w:t>In particular, w</w:t>
      </w:r>
      <w:r w:rsidR="009C1A5D" w:rsidRPr="002733DF">
        <w:rPr>
          <w:rFonts w:ascii="Times New Roman" w:hAnsi="Times New Roman" w:cs="Times New Roman"/>
          <w:sz w:val="20"/>
          <w:szCs w:val="20"/>
          <w:lang w:val="en-US"/>
        </w:rPr>
        <w:t>e</w:t>
      </w:r>
      <w:proofErr w:type="gramEnd"/>
      <w:r w:rsidR="009C1A5D" w:rsidRPr="002733DF">
        <w:rPr>
          <w:rFonts w:ascii="Times New Roman" w:hAnsi="Times New Roman" w:cs="Times New Roman"/>
          <w:sz w:val="20"/>
          <w:szCs w:val="20"/>
          <w:lang w:val="en-US"/>
        </w:rPr>
        <w:t xml:space="preserve"> survey</w:t>
      </w:r>
      <w:r w:rsidR="007A7EE6" w:rsidRPr="002733DF">
        <w:rPr>
          <w:rFonts w:ascii="Times New Roman" w:hAnsi="Times New Roman" w:cs="Times New Roman"/>
          <w:sz w:val="20"/>
          <w:szCs w:val="20"/>
          <w:lang w:val="en-US"/>
        </w:rPr>
        <w:t>ed</w:t>
      </w:r>
      <w:r w:rsidR="009C1A5D" w:rsidRPr="002733DF">
        <w:rPr>
          <w:rFonts w:ascii="Times New Roman" w:hAnsi="Times New Roman" w:cs="Times New Roman"/>
          <w:sz w:val="20"/>
          <w:szCs w:val="20"/>
          <w:lang w:val="en-US"/>
        </w:rPr>
        <w:t xml:space="preserve"> </w:t>
      </w:r>
      <w:r w:rsidR="0064081F" w:rsidRPr="002733DF">
        <w:rPr>
          <w:rFonts w:ascii="Times New Roman" w:hAnsi="Times New Roman" w:cs="Times New Roman"/>
          <w:sz w:val="20"/>
          <w:szCs w:val="20"/>
          <w:lang w:val="en-US"/>
        </w:rPr>
        <w:t xml:space="preserve">undergraduate </w:t>
      </w:r>
      <w:r w:rsidR="009C1A5D" w:rsidRPr="002733DF">
        <w:rPr>
          <w:rFonts w:ascii="Times New Roman" w:hAnsi="Times New Roman" w:cs="Times New Roman"/>
          <w:sz w:val="20"/>
          <w:szCs w:val="20"/>
          <w:lang w:val="en-US"/>
        </w:rPr>
        <w:t xml:space="preserve">students </w:t>
      </w:r>
      <w:r w:rsidR="007A7EE6" w:rsidRPr="002733DF">
        <w:rPr>
          <w:rFonts w:ascii="Times New Roman" w:hAnsi="Times New Roman" w:cs="Times New Roman"/>
          <w:sz w:val="20"/>
          <w:szCs w:val="20"/>
          <w:lang w:val="en-US"/>
        </w:rPr>
        <w:t xml:space="preserve">from </w:t>
      </w:r>
      <w:r w:rsidR="009C1A5D" w:rsidRPr="002733DF">
        <w:rPr>
          <w:rFonts w:ascii="Times New Roman" w:hAnsi="Times New Roman" w:cs="Times New Roman"/>
          <w:sz w:val="20"/>
          <w:szCs w:val="20"/>
          <w:lang w:val="en-US"/>
        </w:rPr>
        <w:t>a private college located in New York City in the second half of 2020</w:t>
      </w:r>
      <w:r w:rsidR="00CC530F" w:rsidRPr="002733DF">
        <w:rPr>
          <w:rFonts w:ascii="Times New Roman" w:hAnsi="Times New Roman" w:cs="Times New Roman"/>
          <w:sz w:val="20"/>
          <w:szCs w:val="20"/>
          <w:lang w:val="en-US"/>
        </w:rPr>
        <w:t xml:space="preserve"> and in </w:t>
      </w:r>
      <w:r w:rsidR="000B528F" w:rsidRPr="002733DF">
        <w:rPr>
          <w:rFonts w:ascii="Times New Roman" w:hAnsi="Times New Roman" w:cs="Times New Roman"/>
          <w:sz w:val="20"/>
          <w:szCs w:val="20"/>
          <w:lang w:val="en-US"/>
        </w:rPr>
        <w:t xml:space="preserve">Fall </w:t>
      </w:r>
      <w:r w:rsidR="00CC530F" w:rsidRPr="002733DF">
        <w:rPr>
          <w:rFonts w:ascii="Times New Roman" w:hAnsi="Times New Roman" w:cs="Times New Roman"/>
          <w:sz w:val="20"/>
          <w:szCs w:val="20"/>
          <w:lang w:val="en-US"/>
        </w:rPr>
        <w:t>2022</w:t>
      </w:r>
      <w:r w:rsidR="007A7EE6" w:rsidRPr="002733DF">
        <w:rPr>
          <w:rFonts w:ascii="Times New Roman" w:hAnsi="Times New Roman" w:cs="Times New Roman"/>
          <w:sz w:val="20"/>
          <w:szCs w:val="20"/>
          <w:lang w:val="en-US"/>
        </w:rPr>
        <w:t>,</w:t>
      </w:r>
      <w:r w:rsidR="009C1A5D" w:rsidRPr="002733DF">
        <w:rPr>
          <w:rFonts w:ascii="Times New Roman" w:hAnsi="Times New Roman" w:cs="Times New Roman"/>
          <w:sz w:val="20"/>
          <w:szCs w:val="20"/>
          <w:lang w:val="en-US"/>
        </w:rPr>
        <w:t xml:space="preserve"> </w:t>
      </w:r>
      <w:r w:rsidR="00090A26" w:rsidRPr="002733DF">
        <w:rPr>
          <w:rFonts w:ascii="Times New Roman" w:hAnsi="Times New Roman" w:cs="Times New Roman"/>
          <w:sz w:val="20"/>
          <w:szCs w:val="20"/>
          <w:lang w:val="en-US"/>
        </w:rPr>
        <w:t xml:space="preserve">and </w:t>
      </w:r>
      <w:r w:rsidR="007A7EE6" w:rsidRPr="002733DF">
        <w:rPr>
          <w:rFonts w:ascii="Times New Roman" w:hAnsi="Times New Roman" w:cs="Times New Roman"/>
          <w:sz w:val="20"/>
          <w:szCs w:val="20"/>
          <w:lang w:val="en-US"/>
        </w:rPr>
        <w:t xml:space="preserve">we obtained </w:t>
      </w:r>
      <w:r w:rsidR="009C1A5D" w:rsidRPr="002733DF">
        <w:rPr>
          <w:rFonts w:ascii="Times New Roman" w:hAnsi="Times New Roman" w:cs="Times New Roman"/>
          <w:sz w:val="20"/>
          <w:szCs w:val="20"/>
          <w:lang w:val="en-US"/>
        </w:rPr>
        <w:t>1</w:t>
      </w:r>
      <w:r w:rsidR="00CC530F" w:rsidRPr="002733DF">
        <w:rPr>
          <w:rFonts w:ascii="Times New Roman" w:hAnsi="Times New Roman" w:cs="Times New Roman"/>
          <w:sz w:val="20"/>
          <w:szCs w:val="20"/>
          <w:lang w:val="en-US"/>
        </w:rPr>
        <w:t xml:space="preserve">45 total </w:t>
      </w:r>
      <w:r w:rsidR="009C1A5D" w:rsidRPr="002733DF">
        <w:rPr>
          <w:rFonts w:ascii="Times New Roman" w:hAnsi="Times New Roman" w:cs="Times New Roman"/>
          <w:sz w:val="20"/>
          <w:szCs w:val="20"/>
          <w:lang w:val="en-US"/>
        </w:rPr>
        <w:t xml:space="preserve">useful responses. </w:t>
      </w:r>
      <w:r w:rsidRPr="002733DF">
        <w:rPr>
          <w:rFonts w:ascii="Times New Roman" w:hAnsi="Times New Roman" w:cs="Times New Roman"/>
          <w:sz w:val="20"/>
          <w:szCs w:val="20"/>
          <w:lang w:val="en-US"/>
        </w:rPr>
        <w:t xml:space="preserve">We </w:t>
      </w:r>
      <w:r w:rsidR="003467BC" w:rsidRPr="002733DF">
        <w:rPr>
          <w:rFonts w:ascii="Times New Roman" w:hAnsi="Times New Roman" w:cs="Times New Roman"/>
          <w:sz w:val="20"/>
          <w:szCs w:val="20"/>
          <w:lang w:val="en-US"/>
        </w:rPr>
        <w:t xml:space="preserve">find </w:t>
      </w:r>
      <w:r w:rsidRPr="002733DF">
        <w:rPr>
          <w:rFonts w:ascii="Times New Roman" w:hAnsi="Times New Roman" w:cs="Times New Roman"/>
          <w:sz w:val="20"/>
          <w:szCs w:val="20"/>
          <w:lang w:val="en-US"/>
        </w:rPr>
        <w:t xml:space="preserve">that </w:t>
      </w:r>
      <w:r w:rsidR="00090A26" w:rsidRPr="002733DF">
        <w:rPr>
          <w:rFonts w:ascii="Times New Roman" w:hAnsi="Times New Roman" w:cs="Times New Roman"/>
          <w:sz w:val="20"/>
          <w:szCs w:val="20"/>
          <w:lang w:val="en-US"/>
        </w:rPr>
        <w:t>survey</w:t>
      </w:r>
      <w:r w:rsidR="009C1A5D" w:rsidRPr="002733DF">
        <w:rPr>
          <w:rFonts w:ascii="Times New Roman" w:hAnsi="Times New Roman" w:cs="Times New Roman"/>
          <w:sz w:val="20"/>
          <w:szCs w:val="20"/>
          <w:lang w:val="en-US"/>
        </w:rPr>
        <w:t xml:space="preserve"> participants</w:t>
      </w:r>
      <w:r w:rsidRPr="002733DF">
        <w:rPr>
          <w:rFonts w:ascii="Times New Roman" w:hAnsi="Times New Roman" w:cs="Times New Roman"/>
          <w:sz w:val="20"/>
          <w:szCs w:val="20"/>
          <w:lang w:val="en-US"/>
        </w:rPr>
        <w:t xml:space="preserve"> are neither tax litera</w:t>
      </w:r>
      <w:r w:rsidR="009C1A5D" w:rsidRPr="002733DF">
        <w:rPr>
          <w:rFonts w:ascii="Times New Roman" w:hAnsi="Times New Roman" w:cs="Times New Roman"/>
          <w:sz w:val="20"/>
          <w:szCs w:val="20"/>
          <w:lang w:val="en-US"/>
        </w:rPr>
        <w:t xml:space="preserve">te </w:t>
      </w:r>
      <w:r w:rsidRPr="002733DF">
        <w:rPr>
          <w:rFonts w:ascii="Times New Roman" w:hAnsi="Times New Roman" w:cs="Times New Roman"/>
          <w:sz w:val="20"/>
          <w:szCs w:val="20"/>
          <w:lang w:val="en-US"/>
        </w:rPr>
        <w:t>nor confident</w:t>
      </w:r>
      <w:r w:rsidR="00090A26" w:rsidRPr="002733DF">
        <w:rPr>
          <w:rFonts w:ascii="Times New Roman" w:hAnsi="Times New Roman" w:cs="Times New Roman"/>
          <w:sz w:val="20"/>
          <w:szCs w:val="20"/>
          <w:lang w:val="en-US"/>
        </w:rPr>
        <w:t xml:space="preserve"> </w:t>
      </w:r>
      <w:r w:rsidR="00891925" w:rsidRPr="002733DF">
        <w:rPr>
          <w:rFonts w:ascii="Times New Roman" w:hAnsi="Times New Roman" w:cs="Times New Roman"/>
          <w:sz w:val="20"/>
          <w:szCs w:val="20"/>
          <w:lang w:val="en-US"/>
        </w:rPr>
        <w:t xml:space="preserve">regarding </w:t>
      </w:r>
      <w:r w:rsidR="00575EF3" w:rsidRPr="002733DF">
        <w:rPr>
          <w:rFonts w:ascii="Times New Roman" w:hAnsi="Times New Roman" w:cs="Times New Roman"/>
          <w:sz w:val="20"/>
          <w:szCs w:val="20"/>
          <w:lang w:val="en-US"/>
        </w:rPr>
        <w:t>taxes</w:t>
      </w:r>
      <w:r w:rsidR="009C1A5D" w:rsidRPr="002733DF">
        <w:rPr>
          <w:rFonts w:ascii="Times New Roman" w:hAnsi="Times New Roman" w:cs="Times New Roman"/>
          <w:sz w:val="20"/>
          <w:szCs w:val="20"/>
          <w:lang w:val="en-US"/>
        </w:rPr>
        <w:t xml:space="preserve">, despite </w:t>
      </w:r>
      <w:r w:rsidR="007A7EE6" w:rsidRPr="002733DF">
        <w:rPr>
          <w:rFonts w:ascii="Times New Roman" w:hAnsi="Times New Roman" w:cs="Times New Roman"/>
          <w:sz w:val="20"/>
          <w:szCs w:val="20"/>
          <w:lang w:val="en-US"/>
        </w:rPr>
        <w:t xml:space="preserve">being </w:t>
      </w:r>
      <w:r w:rsidR="009C1A5D" w:rsidRPr="002733DF">
        <w:rPr>
          <w:rFonts w:ascii="Times New Roman" w:hAnsi="Times New Roman" w:cs="Times New Roman"/>
          <w:sz w:val="20"/>
          <w:szCs w:val="20"/>
          <w:lang w:val="en-US"/>
        </w:rPr>
        <w:t>financial</w:t>
      </w:r>
      <w:r w:rsidR="00090A26" w:rsidRPr="002733DF">
        <w:rPr>
          <w:rFonts w:ascii="Times New Roman" w:hAnsi="Times New Roman" w:cs="Times New Roman"/>
          <w:sz w:val="20"/>
          <w:szCs w:val="20"/>
          <w:lang w:val="en-US"/>
        </w:rPr>
        <w:t>ly</w:t>
      </w:r>
      <w:r w:rsidR="009C1A5D" w:rsidRPr="002733DF">
        <w:rPr>
          <w:rFonts w:ascii="Times New Roman" w:hAnsi="Times New Roman" w:cs="Times New Roman"/>
          <w:sz w:val="20"/>
          <w:szCs w:val="20"/>
          <w:lang w:val="en-US"/>
        </w:rPr>
        <w:t xml:space="preserve"> litera</w:t>
      </w:r>
      <w:r w:rsidR="00090A26" w:rsidRPr="002733DF">
        <w:rPr>
          <w:rFonts w:ascii="Times New Roman" w:hAnsi="Times New Roman" w:cs="Times New Roman"/>
          <w:sz w:val="20"/>
          <w:szCs w:val="20"/>
          <w:lang w:val="en-US"/>
        </w:rPr>
        <w:t>te</w:t>
      </w:r>
      <w:r w:rsidR="009C1A5D" w:rsidRPr="002733DF">
        <w:rPr>
          <w:rFonts w:ascii="Times New Roman" w:hAnsi="Times New Roman" w:cs="Times New Roman"/>
          <w:sz w:val="20"/>
          <w:szCs w:val="20"/>
          <w:lang w:val="en-US"/>
        </w:rPr>
        <w:t xml:space="preserve"> and</w:t>
      </w:r>
      <w:r w:rsidR="00090A26" w:rsidRPr="002733DF">
        <w:rPr>
          <w:rFonts w:ascii="Times New Roman" w:hAnsi="Times New Roman" w:cs="Times New Roman"/>
          <w:sz w:val="20"/>
          <w:szCs w:val="20"/>
          <w:lang w:val="en-US"/>
        </w:rPr>
        <w:t xml:space="preserve"> confident</w:t>
      </w:r>
      <w:r w:rsidRPr="002733DF">
        <w:rPr>
          <w:rFonts w:ascii="Times New Roman" w:hAnsi="Times New Roman" w:cs="Times New Roman"/>
          <w:sz w:val="20"/>
          <w:szCs w:val="20"/>
          <w:lang w:val="en-US"/>
        </w:rPr>
        <w:t xml:space="preserve">. </w:t>
      </w:r>
      <w:r w:rsidR="00F93D29" w:rsidRPr="002733DF">
        <w:rPr>
          <w:rFonts w:ascii="Times New Roman" w:hAnsi="Times New Roman" w:cs="Times New Roman"/>
          <w:sz w:val="20"/>
          <w:szCs w:val="20"/>
          <w:lang w:val="en-US"/>
        </w:rPr>
        <w:t xml:space="preserve">We also find that students’ financial literacy is positively associated with their tax literacy, suggesting that financial knowledge and tax knowledge </w:t>
      </w:r>
      <w:r w:rsidR="00C967E3" w:rsidRPr="002733DF">
        <w:rPr>
          <w:rFonts w:ascii="Times New Roman" w:hAnsi="Times New Roman" w:cs="Times New Roman"/>
          <w:sz w:val="20"/>
          <w:szCs w:val="20"/>
          <w:lang w:val="en-US"/>
        </w:rPr>
        <w:t>share some common aspects</w:t>
      </w:r>
      <w:r w:rsidR="00F93D29" w:rsidRPr="002733DF">
        <w:rPr>
          <w:rFonts w:ascii="Times New Roman" w:hAnsi="Times New Roman" w:cs="Times New Roman"/>
          <w:sz w:val="20"/>
          <w:szCs w:val="20"/>
          <w:lang w:val="en-US"/>
        </w:rPr>
        <w:t>. In addition, students’</w:t>
      </w:r>
      <w:r w:rsidRPr="002733DF">
        <w:rPr>
          <w:rFonts w:ascii="Times New Roman" w:hAnsi="Times New Roman" w:cs="Times New Roman"/>
          <w:sz w:val="20"/>
          <w:szCs w:val="20"/>
          <w:lang w:val="en-US"/>
        </w:rPr>
        <w:t xml:space="preserve"> financial experience</w:t>
      </w:r>
      <w:r w:rsidR="007A7EE6" w:rsidRPr="002733DF">
        <w:rPr>
          <w:rFonts w:ascii="Times New Roman" w:hAnsi="Times New Roman" w:cs="Times New Roman"/>
          <w:sz w:val="20"/>
          <w:szCs w:val="20"/>
          <w:lang w:val="en-US"/>
        </w:rPr>
        <w:t>,</w:t>
      </w:r>
      <w:r w:rsidR="00F93D29" w:rsidRPr="002733DF">
        <w:rPr>
          <w:rFonts w:ascii="Times New Roman" w:hAnsi="Times New Roman" w:cs="Times New Roman"/>
          <w:sz w:val="20"/>
          <w:szCs w:val="20"/>
          <w:lang w:val="en-US"/>
        </w:rPr>
        <w:t xml:space="preserve"> such as having a credit card or a</w:t>
      </w:r>
      <w:r w:rsidRPr="002733DF">
        <w:rPr>
          <w:rFonts w:ascii="Times New Roman" w:hAnsi="Times New Roman" w:cs="Times New Roman"/>
          <w:sz w:val="20"/>
          <w:szCs w:val="20"/>
          <w:lang w:val="en-US"/>
        </w:rPr>
        <w:t xml:space="preserve"> </w:t>
      </w:r>
      <w:r w:rsidR="00C967E3" w:rsidRPr="002733DF">
        <w:rPr>
          <w:rFonts w:ascii="Times New Roman" w:hAnsi="Times New Roman" w:cs="Times New Roman"/>
          <w:sz w:val="20"/>
          <w:szCs w:val="20"/>
          <w:lang w:val="en-US"/>
        </w:rPr>
        <w:t>bank</w:t>
      </w:r>
      <w:r w:rsidRPr="002733DF">
        <w:rPr>
          <w:rFonts w:ascii="Times New Roman" w:hAnsi="Times New Roman" w:cs="Times New Roman"/>
          <w:sz w:val="20"/>
          <w:szCs w:val="20"/>
          <w:lang w:val="en-US"/>
        </w:rPr>
        <w:t xml:space="preserve"> account</w:t>
      </w:r>
      <w:r w:rsidR="00F93D29" w:rsidRPr="002733DF">
        <w:rPr>
          <w:rFonts w:ascii="Times New Roman" w:hAnsi="Times New Roman" w:cs="Times New Roman"/>
          <w:sz w:val="20"/>
          <w:szCs w:val="20"/>
          <w:lang w:val="en-US"/>
        </w:rPr>
        <w:t xml:space="preserve">, </w:t>
      </w:r>
      <w:r w:rsidR="001F04AA" w:rsidRPr="002733DF">
        <w:rPr>
          <w:rFonts w:ascii="Times New Roman" w:hAnsi="Times New Roman" w:cs="Times New Roman"/>
          <w:sz w:val="20"/>
          <w:szCs w:val="20"/>
          <w:lang w:val="en-US"/>
        </w:rPr>
        <w:t xml:space="preserve">is </w:t>
      </w:r>
      <w:r w:rsidRPr="002733DF">
        <w:rPr>
          <w:rFonts w:ascii="Times New Roman" w:hAnsi="Times New Roman" w:cs="Times New Roman"/>
          <w:sz w:val="20"/>
          <w:szCs w:val="20"/>
          <w:lang w:val="en-US"/>
        </w:rPr>
        <w:t xml:space="preserve">positively associated with their tax literacy levels. </w:t>
      </w:r>
      <w:r w:rsidR="007A7EE6" w:rsidRPr="002733DF">
        <w:rPr>
          <w:rFonts w:ascii="Times New Roman" w:hAnsi="Times New Roman" w:cs="Times New Roman"/>
          <w:sz w:val="20"/>
          <w:szCs w:val="20"/>
          <w:lang w:val="en-US"/>
        </w:rPr>
        <w:t>Furthermore,</w:t>
      </w:r>
      <w:r w:rsidR="009C1A5D" w:rsidRPr="002733DF">
        <w:rPr>
          <w:rFonts w:ascii="Times New Roman" w:hAnsi="Times New Roman" w:cs="Times New Roman"/>
          <w:sz w:val="20"/>
          <w:szCs w:val="20"/>
          <w:lang w:val="en-US"/>
        </w:rPr>
        <w:t xml:space="preserve"> students’ tax confidence levels are positively associated with their </w:t>
      </w:r>
      <w:r w:rsidR="00C967E3" w:rsidRPr="002733DF">
        <w:rPr>
          <w:rFonts w:ascii="Times New Roman" w:hAnsi="Times New Roman" w:cs="Times New Roman"/>
          <w:sz w:val="20"/>
          <w:szCs w:val="20"/>
          <w:lang w:val="en-US"/>
        </w:rPr>
        <w:t>tax literacy, financial confidence, financial experience</w:t>
      </w:r>
      <w:r w:rsidR="00FD27ED" w:rsidRPr="002733DF">
        <w:rPr>
          <w:rFonts w:ascii="Times New Roman" w:hAnsi="Times New Roman" w:cs="Times New Roman"/>
          <w:sz w:val="20"/>
          <w:szCs w:val="20"/>
          <w:lang w:val="en-US"/>
        </w:rPr>
        <w:t>,</w:t>
      </w:r>
      <w:r w:rsidR="00C967E3" w:rsidRPr="002733DF">
        <w:rPr>
          <w:rFonts w:ascii="Times New Roman" w:hAnsi="Times New Roman" w:cs="Times New Roman"/>
          <w:sz w:val="20"/>
          <w:szCs w:val="20"/>
          <w:lang w:val="en-US"/>
        </w:rPr>
        <w:t xml:space="preserve"> and </w:t>
      </w:r>
      <w:r w:rsidR="009C1A5D" w:rsidRPr="002733DF">
        <w:rPr>
          <w:rFonts w:ascii="Times New Roman" w:hAnsi="Times New Roman" w:cs="Times New Roman"/>
          <w:sz w:val="20"/>
          <w:szCs w:val="20"/>
          <w:lang w:val="en-US"/>
        </w:rPr>
        <w:t xml:space="preserve">experience </w:t>
      </w:r>
      <w:r w:rsidR="007B799B" w:rsidRPr="002733DF">
        <w:rPr>
          <w:rFonts w:ascii="Times New Roman" w:hAnsi="Times New Roman" w:cs="Times New Roman"/>
          <w:sz w:val="20"/>
          <w:szCs w:val="20"/>
          <w:lang w:val="en-US"/>
        </w:rPr>
        <w:t xml:space="preserve">in </w:t>
      </w:r>
      <w:r w:rsidR="009C1A5D" w:rsidRPr="002733DF">
        <w:rPr>
          <w:rFonts w:ascii="Times New Roman" w:hAnsi="Times New Roman" w:cs="Times New Roman"/>
          <w:sz w:val="20"/>
          <w:szCs w:val="20"/>
          <w:lang w:val="en-US"/>
        </w:rPr>
        <w:t>filing tax returns</w:t>
      </w:r>
      <w:r w:rsidR="00C967E3" w:rsidRPr="002733DF">
        <w:rPr>
          <w:rFonts w:ascii="Times New Roman" w:hAnsi="Times New Roman" w:cs="Times New Roman"/>
          <w:sz w:val="20"/>
          <w:szCs w:val="20"/>
          <w:lang w:val="en-US"/>
        </w:rPr>
        <w:t>.</w:t>
      </w:r>
      <w:r w:rsidR="00090A26" w:rsidRPr="002733DF">
        <w:rPr>
          <w:rFonts w:ascii="Times New Roman" w:hAnsi="Times New Roman" w:cs="Times New Roman"/>
          <w:sz w:val="20"/>
          <w:szCs w:val="20"/>
          <w:lang w:val="en-US"/>
        </w:rPr>
        <w:t xml:space="preserve"> </w:t>
      </w:r>
      <w:r w:rsidR="00FD27ED" w:rsidRPr="002733DF">
        <w:rPr>
          <w:rFonts w:ascii="Times New Roman" w:hAnsi="Times New Roman" w:cs="Times New Roman"/>
          <w:sz w:val="20"/>
          <w:szCs w:val="20"/>
          <w:lang w:val="en-US"/>
        </w:rPr>
        <w:t>However,</w:t>
      </w:r>
      <w:r w:rsidR="00090A26" w:rsidRPr="002733DF">
        <w:rPr>
          <w:rFonts w:ascii="Times New Roman" w:hAnsi="Times New Roman" w:cs="Times New Roman"/>
          <w:sz w:val="20"/>
          <w:szCs w:val="20"/>
          <w:lang w:val="en-US"/>
        </w:rPr>
        <w:t xml:space="preserve"> </w:t>
      </w:r>
      <w:r w:rsidR="00F0262E" w:rsidRPr="002733DF">
        <w:rPr>
          <w:rFonts w:ascii="Times New Roman" w:hAnsi="Times New Roman" w:cs="Times New Roman"/>
          <w:sz w:val="20"/>
          <w:szCs w:val="20"/>
          <w:lang w:val="en-US"/>
        </w:rPr>
        <w:t xml:space="preserve">their </w:t>
      </w:r>
      <w:r w:rsidR="00575EF3" w:rsidRPr="002733DF">
        <w:rPr>
          <w:rFonts w:ascii="Times New Roman" w:hAnsi="Times New Roman" w:cs="Times New Roman"/>
          <w:sz w:val="20"/>
          <w:szCs w:val="20"/>
          <w:lang w:val="en-US"/>
        </w:rPr>
        <w:t xml:space="preserve">tax confidence levels are not associated with </w:t>
      </w:r>
      <w:r w:rsidR="00F93D29" w:rsidRPr="002733DF">
        <w:rPr>
          <w:rFonts w:ascii="Times New Roman" w:hAnsi="Times New Roman" w:cs="Times New Roman"/>
          <w:sz w:val="20"/>
          <w:szCs w:val="20"/>
          <w:lang w:val="en-US"/>
        </w:rPr>
        <w:t xml:space="preserve">their </w:t>
      </w:r>
      <w:r w:rsidR="00C967E3" w:rsidRPr="002733DF">
        <w:rPr>
          <w:rFonts w:ascii="Times New Roman" w:hAnsi="Times New Roman" w:cs="Times New Roman"/>
          <w:sz w:val="20"/>
          <w:szCs w:val="20"/>
          <w:lang w:val="en-US"/>
        </w:rPr>
        <w:t xml:space="preserve">actual </w:t>
      </w:r>
      <w:r w:rsidR="00090A26" w:rsidRPr="002733DF">
        <w:rPr>
          <w:rFonts w:ascii="Times New Roman" w:hAnsi="Times New Roman" w:cs="Times New Roman"/>
          <w:sz w:val="20"/>
          <w:szCs w:val="20"/>
          <w:lang w:val="en-US"/>
        </w:rPr>
        <w:t xml:space="preserve">financial </w:t>
      </w:r>
      <w:r w:rsidR="00C967E3" w:rsidRPr="002733DF">
        <w:rPr>
          <w:rFonts w:ascii="Times New Roman" w:hAnsi="Times New Roman" w:cs="Times New Roman"/>
          <w:sz w:val="20"/>
          <w:szCs w:val="20"/>
          <w:lang w:val="en-US"/>
        </w:rPr>
        <w:t>knowledge</w:t>
      </w:r>
      <w:r w:rsidR="009C1A5D" w:rsidRPr="002733DF">
        <w:rPr>
          <w:rFonts w:ascii="Times New Roman" w:hAnsi="Times New Roman" w:cs="Times New Roman"/>
          <w:sz w:val="20"/>
          <w:szCs w:val="20"/>
          <w:lang w:val="en-US"/>
        </w:rPr>
        <w:t>.</w:t>
      </w:r>
      <w:r w:rsidR="00090A26" w:rsidRPr="002733DF">
        <w:rPr>
          <w:rFonts w:ascii="Times New Roman" w:hAnsi="Times New Roman" w:cs="Times New Roman"/>
          <w:sz w:val="20"/>
          <w:szCs w:val="20"/>
          <w:lang w:val="en-US"/>
        </w:rPr>
        <w:t xml:space="preserve"> </w:t>
      </w:r>
      <w:r w:rsidR="00D738F4" w:rsidRPr="002733DF">
        <w:rPr>
          <w:rFonts w:ascii="Times New Roman" w:hAnsi="Times New Roman" w:cs="Times New Roman"/>
          <w:sz w:val="20"/>
          <w:szCs w:val="20"/>
          <w:lang w:val="en-US"/>
        </w:rPr>
        <w:t xml:space="preserve">Therefore, </w:t>
      </w:r>
      <w:r w:rsidR="00F93D29" w:rsidRPr="002733DF">
        <w:rPr>
          <w:rFonts w:ascii="Times New Roman" w:hAnsi="Times New Roman" w:cs="Times New Roman"/>
          <w:sz w:val="20"/>
          <w:szCs w:val="20"/>
          <w:lang w:val="en-US"/>
        </w:rPr>
        <w:t xml:space="preserve">to increase students’ confidence level in handling their own taxes, </w:t>
      </w:r>
      <w:r w:rsidR="00416728" w:rsidRPr="002733DF">
        <w:rPr>
          <w:rFonts w:ascii="Times New Roman" w:hAnsi="Times New Roman" w:cs="Times New Roman"/>
          <w:sz w:val="20"/>
          <w:szCs w:val="20"/>
          <w:lang w:val="en-US"/>
        </w:rPr>
        <w:t xml:space="preserve">tax-specific </w:t>
      </w:r>
      <w:r w:rsidR="00F93D29" w:rsidRPr="002733DF">
        <w:rPr>
          <w:rFonts w:ascii="Times New Roman" w:hAnsi="Times New Roman" w:cs="Times New Roman"/>
          <w:sz w:val="20"/>
          <w:szCs w:val="20"/>
          <w:lang w:val="en-US"/>
        </w:rPr>
        <w:t xml:space="preserve">education </w:t>
      </w:r>
      <w:r w:rsidR="00416728" w:rsidRPr="002733DF">
        <w:rPr>
          <w:rFonts w:ascii="Times New Roman" w:hAnsi="Times New Roman" w:cs="Times New Roman"/>
          <w:sz w:val="20"/>
          <w:szCs w:val="20"/>
          <w:lang w:val="en-US"/>
        </w:rPr>
        <w:t>is</w:t>
      </w:r>
      <w:r w:rsidR="00F93D29" w:rsidRPr="002733DF">
        <w:rPr>
          <w:rFonts w:ascii="Times New Roman" w:hAnsi="Times New Roman" w:cs="Times New Roman"/>
          <w:sz w:val="20"/>
          <w:szCs w:val="20"/>
          <w:lang w:val="en-US"/>
        </w:rPr>
        <w:t xml:space="preserve"> </w:t>
      </w:r>
      <w:r w:rsidR="00FD27ED" w:rsidRPr="002733DF">
        <w:rPr>
          <w:rFonts w:ascii="Times New Roman" w:hAnsi="Times New Roman" w:cs="Times New Roman"/>
          <w:sz w:val="20"/>
          <w:szCs w:val="20"/>
          <w:lang w:val="en-US"/>
        </w:rPr>
        <w:t>important</w:t>
      </w:r>
      <w:r w:rsidR="00D738F4" w:rsidRPr="002733DF">
        <w:rPr>
          <w:rFonts w:ascii="Times New Roman" w:hAnsi="Times New Roman" w:cs="Times New Roman"/>
          <w:sz w:val="20"/>
          <w:szCs w:val="20"/>
          <w:lang w:val="en-US"/>
        </w:rPr>
        <w:t xml:space="preserve">. </w:t>
      </w:r>
      <w:r w:rsidR="000251E2" w:rsidRPr="002733DF">
        <w:rPr>
          <w:rFonts w:ascii="Times New Roman" w:hAnsi="Times New Roman" w:cs="Times New Roman"/>
          <w:sz w:val="20"/>
          <w:szCs w:val="20"/>
          <w:lang w:val="en-US"/>
        </w:rPr>
        <w:t xml:space="preserve">These </w:t>
      </w:r>
      <w:r w:rsidR="00D738F4" w:rsidRPr="002733DF">
        <w:rPr>
          <w:rFonts w:ascii="Times New Roman" w:hAnsi="Times New Roman" w:cs="Times New Roman"/>
          <w:sz w:val="20"/>
          <w:szCs w:val="20"/>
          <w:lang w:val="en-US"/>
        </w:rPr>
        <w:t>finding</w:t>
      </w:r>
      <w:r w:rsidR="000251E2" w:rsidRPr="002733DF">
        <w:rPr>
          <w:rFonts w:ascii="Times New Roman" w:hAnsi="Times New Roman" w:cs="Times New Roman"/>
          <w:sz w:val="20"/>
          <w:szCs w:val="20"/>
          <w:lang w:val="en-US"/>
        </w:rPr>
        <w:t>s</w:t>
      </w:r>
      <w:r w:rsidR="00D738F4" w:rsidRPr="002733DF">
        <w:rPr>
          <w:rFonts w:ascii="Times New Roman" w:hAnsi="Times New Roman" w:cs="Times New Roman"/>
          <w:sz w:val="20"/>
          <w:szCs w:val="20"/>
          <w:lang w:val="en-US"/>
        </w:rPr>
        <w:t xml:space="preserve"> </w:t>
      </w:r>
      <w:r w:rsidR="003467BC" w:rsidRPr="002733DF">
        <w:rPr>
          <w:rFonts w:ascii="Times New Roman" w:hAnsi="Times New Roman" w:cs="Times New Roman"/>
          <w:sz w:val="20"/>
          <w:szCs w:val="20"/>
          <w:lang w:val="en-US"/>
        </w:rPr>
        <w:t xml:space="preserve">also </w:t>
      </w:r>
      <w:r w:rsidR="00D738F4" w:rsidRPr="002733DF">
        <w:rPr>
          <w:rFonts w:ascii="Times New Roman" w:hAnsi="Times New Roman" w:cs="Times New Roman"/>
          <w:sz w:val="20"/>
          <w:szCs w:val="20"/>
          <w:lang w:val="en-US"/>
        </w:rPr>
        <w:t>emphasize the importan</w:t>
      </w:r>
      <w:r w:rsidR="000251E2" w:rsidRPr="002733DF">
        <w:rPr>
          <w:rFonts w:ascii="Times New Roman" w:hAnsi="Times New Roman" w:cs="Times New Roman"/>
          <w:sz w:val="20"/>
          <w:szCs w:val="20"/>
          <w:lang w:val="en-US"/>
        </w:rPr>
        <w:t>t</w:t>
      </w:r>
      <w:r w:rsidR="00D738F4" w:rsidRPr="002733DF">
        <w:rPr>
          <w:rFonts w:ascii="Times New Roman" w:hAnsi="Times New Roman" w:cs="Times New Roman"/>
          <w:sz w:val="20"/>
          <w:szCs w:val="20"/>
          <w:lang w:val="en-US"/>
        </w:rPr>
        <w:t xml:space="preserve"> </w:t>
      </w:r>
      <w:r w:rsidR="00575EF3" w:rsidRPr="002733DF">
        <w:rPr>
          <w:rFonts w:ascii="Times New Roman" w:hAnsi="Times New Roman" w:cs="Times New Roman"/>
          <w:sz w:val="20"/>
          <w:szCs w:val="20"/>
          <w:lang w:val="en-US"/>
        </w:rPr>
        <w:t xml:space="preserve">role </w:t>
      </w:r>
      <w:r w:rsidR="003C7374" w:rsidRPr="002733DF">
        <w:rPr>
          <w:rFonts w:ascii="Times New Roman" w:hAnsi="Times New Roman" w:cs="Times New Roman"/>
          <w:sz w:val="20"/>
          <w:szCs w:val="20"/>
          <w:lang w:val="en-US"/>
        </w:rPr>
        <w:t xml:space="preserve">that </w:t>
      </w:r>
      <w:r w:rsidR="00071E2A" w:rsidRPr="002733DF">
        <w:rPr>
          <w:rFonts w:ascii="Times New Roman" w:hAnsi="Times New Roman" w:cs="Times New Roman"/>
          <w:sz w:val="20"/>
          <w:szCs w:val="20"/>
          <w:lang w:val="en-US"/>
        </w:rPr>
        <w:t>real-life financial experience</w:t>
      </w:r>
      <w:r w:rsidR="003C7374" w:rsidRPr="002733DF">
        <w:rPr>
          <w:rFonts w:ascii="Times New Roman" w:hAnsi="Times New Roman" w:cs="Times New Roman"/>
          <w:sz w:val="20"/>
          <w:szCs w:val="20"/>
          <w:lang w:val="en-US"/>
        </w:rPr>
        <w:t xml:space="preserve"> play</w:t>
      </w:r>
      <w:r w:rsidR="001F04AA" w:rsidRPr="002733DF">
        <w:rPr>
          <w:rFonts w:ascii="Times New Roman" w:hAnsi="Times New Roman" w:cs="Times New Roman"/>
          <w:sz w:val="20"/>
          <w:szCs w:val="20"/>
          <w:lang w:val="en-US"/>
        </w:rPr>
        <w:t>s</w:t>
      </w:r>
      <w:r w:rsidR="00071E2A" w:rsidRPr="002733DF">
        <w:rPr>
          <w:rFonts w:ascii="Times New Roman" w:hAnsi="Times New Roman" w:cs="Times New Roman"/>
          <w:sz w:val="20"/>
          <w:szCs w:val="20"/>
          <w:lang w:val="en-US"/>
        </w:rPr>
        <w:t xml:space="preserve"> in tax literacy</w:t>
      </w:r>
      <w:r w:rsidR="00D738F4" w:rsidRPr="002733DF">
        <w:rPr>
          <w:rFonts w:ascii="Times New Roman" w:hAnsi="Times New Roman" w:cs="Times New Roman"/>
          <w:sz w:val="20"/>
          <w:szCs w:val="20"/>
          <w:lang w:val="en-US"/>
        </w:rPr>
        <w:t>.</w:t>
      </w:r>
      <w:r w:rsidR="002733DF">
        <w:rPr>
          <w:rFonts w:ascii="Times New Roman" w:hAnsi="Times New Roman" w:cs="Times New Roman"/>
          <w:sz w:val="20"/>
          <w:szCs w:val="20"/>
          <w:lang w:val="en-US"/>
        </w:rPr>
        <w:t xml:space="preserve">  </w:t>
      </w:r>
    </w:p>
    <w:p w14:paraId="400EE80E" w14:textId="77777777" w:rsidR="002733DF" w:rsidRPr="002733DF" w:rsidRDefault="002733DF" w:rsidP="00C45D4F">
      <w:pPr>
        <w:rPr>
          <w:rFonts w:ascii="Times New Roman" w:hAnsi="Times New Roman" w:cs="Times New Roman"/>
          <w:sz w:val="20"/>
          <w:szCs w:val="20"/>
          <w:lang w:val="en-US"/>
        </w:rPr>
      </w:pPr>
    </w:p>
    <w:p w14:paraId="0D78C36D" w14:textId="1374AC07" w:rsidR="00AD7C49" w:rsidRDefault="009C1A5D" w:rsidP="00C45D4F">
      <w:pPr>
        <w:rPr>
          <w:rFonts w:ascii="Times New Roman" w:hAnsi="Times New Roman" w:cs="Times New Roman"/>
          <w:sz w:val="20"/>
          <w:szCs w:val="20"/>
          <w:lang w:val="en-US"/>
        </w:rPr>
      </w:pPr>
      <w:r w:rsidRPr="002733DF">
        <w:rPr>
          <w:rFonts w:ascii="Times New Roman" w:hAnsi="Times New Roman" w:cs="Times New Roman"/>
          <w:sz w:val="20"/>
          <w:szCs w:val="20"/>
          <w:lang w:val="en-US"/>
        </w:rPr>
        <w:t xml:space="preserve">More importantly, we </w:t>
      </w:r>
      <w:r w:rsidR="00665D0E" w:rsidRPr="002733DF">
        <w:rPr>
          <w:rFonts w:ascii="Times New Roman" w:hAnsi="Times New Roman" w:cs="Times New Roman"/>
          <w:sz w:val="20"/>
          <w:szCs w:val="20"/>
          <w:lang w:val="en-US"/>
        </w:rPr>
        <w:t xml:space="preserve">find </w:t>
      </w:r>
      <w:r w:rsidRPr="002733DF">
        <w:rPr>
          <w:rFonts w:ascii="Times New Roman" w:hAnsi="Times New Roman" w:cs="Times New Roman"/>
          <w:sz w:val="20"/>
          <w:szCs w:val="20"/>
          <w:lang w:val="en-US"/>
        </w:rPr>
        <w:t>that non-tax accounting course</w:t>
      </w:r>
      <w:r w:rsidR="004C704F" w:rsidRPr="002733DF">
        <w:rPr>
          <w:rFonts w:ascii="Times New Roman" w:hAnsi="Times New Roman" w:cs="Times New Roman"/>
          <w:sz w:val="20"/>
          <w:szCs w:val="20"/>
          <w:lang w:val="en-US"/>
        </w:rPr>
        <w:t xml:space="preserve">s </w:t>
      </w:r>
      <w:r w:rsidR="00C64196" w:rsidRPr="002733DF">
        <w:rPr>
          <w:rFonts w:ascii="Times New Roman" w:hAnsi="Times New Roman" w:cs="Times New Roman"/>
          <w:sz w:val="20"/>
          <w:szCs w:val="20"/>
          <w:lang w:val="en-US"/>
        </w:rPr>
        <w:t xml:space="preserve">– </w:t>
      </w:r>
      <w:r w:rsidR="00E96339" w:rsidRPr="002733DF">
        <w:rPr>
          <w:rFonts w:ascii="Times New Roman" w:hAnsi="Times New Roman" w:cs="Times New Roman"/>
          <w:sz w:val="20"/>
          <w:szCs w:val="20"/>
          <w:lang w:val="en-US"/>
        </w:rPr>
        <w:t>either</w:t>
      </w:r>
      <w:r w:rsidR="004C704F" w:rsidRPr="002733DF">
        <w:rPr>
          <w:rFonts w:ascii="Times New Roman" w:hAnsi="Times New Roman" w:cs="Times New Roman"/>
          <w:sz w:val="20"/>
          <w:szCs w:val="20"/>
          <w:lang w:val="en-US"/>
        </w:rPr>
        <w:t xml:space="preserve"> </w:t>
      </w:r>
      <w:r w:rsidR="00DB7743" w:rsidRPr="002733DF">
        <w:rPr>
          <w:rFonts w:ascii="Times New Roman" w:hAnsi="Times New Roman" w:cs="Times New Roman"/>
          <w:sz w:val="20"/>
          <w:szCs w:val="20"/>
          <w:lang w:val="en-US"/>
        </w:rPr>
        <w:t>introductory</w:t>
      </w:r>
      <w:r w:rsidR="001942DB" w:rsidRPr="002733DF">
        <w:rPr>
          <w:rFonts w:ascii="Times New Roman" w:hAnsi="Times New Roman" w:cs="Times New Roman"/>
          <w:sz w:val="20"/>
          <w:szCs w:val="20"/>
          <w:lang w:val="en-US"/>
        </w:rPr>
        <w:t xml:space="preserve"> </w:t>
      </w:r>
      <w:r w:rsidR="00E96339" w:rsidRPr="002733DF">
        <w:rPr>
          <w:rFonts w:ascii="Times New Roman" w:hAnsi="Times New Roman" w:cs="Times New Roman"/>
          <w:sz w:val="20"/>
          <w:szCs w:val="20"/>
          <w:lang w:val="en-US"/>
        </w:rPr>
        <w:t>or</w:t>
      </w:r>
      <w:r w:rsidRPr="002733DF">
        <w:rPr>
          <w:rFonts w:ascii="Times New Roman" w:hAnsi="Times New Roman" w:cs="Times New Roman"/>
          <w:sz w:val="20"/>
          <w:szCs w:val="20"/>
          <w:lang w:val="en-US"/>
        </w:rPr>
        <w:t xml:space="preserve"> </w:t>
      </w:r>
      <w:r w:rsidR="00DB7743" w:rsidRPr="002733DF">
        <w:rPr>
          <w:rFonts w:ascii="Times New Roman" w:hAnsi="Times New Roman" w:cs="Times New Roman"/>
          <w:sz w:val="20"/>
          <w:szCs w:val="20"/>
          <w:lang w:val="en-US"/>
        </w:rPr>
        <w:t xml:space="preserve">upper-level </w:t>
      </w:r>
      <w:r w:rsidRPr="002733DF">
        <w:rPr>
          <w:rFonts w:ascii="Times New Roman" w:hAnsi="Times New Roman" w:cs="Times New Roman"/>
          <w:sz w:val="20"/>
          <w:szCs w:val="20"/>
          <w:lang w:val="en-US"/>
        </w:rPr>
        <w:t>courses</w:t>
      </w:r>
      <w:r w:rsidR="00C64196" w:rsidRPr="002733DF">
        <w:rPr>
          <w:rFonts w:ascii="Times New Roman" w:hAnsi="Times New Roman" w:cs="Times New Roman"/>
          <w:sz w:val="20"/>
          <w:szCs w:val="20"/>
          <w:lang w:val="en-US"/>
        </w:rPr>
        <w:t xml:space="preserve"> –</w:t>
      </w:r>
      <w:r w:rsidRPr="002733DF">
        <w:rPr>
          <w:rFonts w:ascii="Times New Roman" w:hAnsi="Times New Roman" w:cs="Times New Roman"/>
          <w:sz w:val="20"/>
          <w:szCs w:val="20"/>
          <w:lang w:val="en-US"/>
        </w:rPr>
        <w:t xml:space="preserve"> are not associated with students’ </w:t>
      </w:r>
      <w:r w:rsidR="004C704F" w:rsidRPr="002733DF">
        <w:rPr>
          <w:rFonts w:ascii="Times New Roman" w:hAnsi="Times New Roman" w:cs="Times New Roman"/>
          <w:sz w:val="20"/>
          <w:szCs w:val="20"/>
          <w:lang w:val="en-US"/>
        </w:rPr>
        <w:t>tax literacy</w:t>
      </w:r>
      <w:r w:rsidR="006555CF" w:rsidRPr="002733DF">
        <w:rPr>
          <w:rFonts w:ascii="Times New Roman" w:hAnsi="Times New Roman" w:cs="Times New Roman"/>
          <w:sz w:val="20"/>
          <w:szCs w:val="20"/>
          <w:lang w:val="en-US"/>
        </w:rPr>
        <w:t xml:space="preserve"> or</w:t>
      </w:r>
      <w:r w:rsidR="00071E2A" w:rsidRPr="002733DF">
        <w:rPr>
          <w:rFonts w:ascii="Times New Roman" w:hAnsi="Times New Roman" w:cs="Times New Roman"/>
          <w:sz w:val="20"/>
          <w:szCs w:val="20"/>
          <w:lang w:val="en-US"/>
        </w:rPr>
        <w:t xml:space="preserve"> tax confidence</w:t>
      </w:r>
      <w:r w:rsidR="004C704F" w:rsidRPr="002733DF">
        <w:rPr>
          <w:rFonts w:ascii="Times New Roman" w:hAnsi="Times New Roman" w:cs="Times New Roman"/>
          <w:sz w:val="20"/>
          <w:szCs w:val="20"/>
          <w:lang w:val="en-US"/>
        </w:rPr>
        <w:t xml:space="preserve">. </w:t>
      </w:r>
      <w:r w:rsidR="003944DB" w:rsidRPr="002733DF">
        <w:rPr>
          <w:rFonts w:ascii="Times New Roman" w:hAnsi="Times New Roman" w:cs="Times New Roman"/>
          <w:sz w:val="20"/>
          <w:szCs w:val="20"/>
          <w:lang w:val="en-US"/>
        </w:rPr>
        <w:t>Our survey result</w:t>
      </w:r>
      <w:r w:rsidR="00DB7743" w:rsidRPr="002733DF">
        <w:rPr>
          <w:rFonts w:ascii="Times New Roman" w:hAnsi="Times New Roman" w:cs="Times New Roman"/>
          <w:sz w:val="20"/>
          <w:szCs w:val="20"/>
          <w:lang w:val="en-US"/>
        </w:rPr>
        <w:t>s</w:t>
      </w:r>
      <w:r w:rsidR="003944DB" w:rsidRPr="002733DF">
        <w:rPr>
          <w:rFonts w:ascii="Times New Roman" w:hAnsi="Times New Roman" w:cs="Times New Roman"/>
          <w:sz w:val="20"/>
          <w:szCs w:val="20"/>
          <w:lang w:val="en-US"/>
        </w:rPr>
        <w:t xml:space="preserve"> </w:t>
      </w:r>
      <w:r w:rsidR="00C64196" w:rsidRPr="002733DF">
        <w:rPr>
          <w:rFonts w:ascii="Times New Roman" w:hAnsi="Times New Roman" w:cs="Times New Roman"/>
          <w:sz w:val="20"/>
          <w:szCs w:val="20"/>
          <w:lang w:val="en-US"/>
        </w:rPr>
        <w:t xml:space="preserve">reveal </w:t>
      </w:r>
      <w:r w:rsidR="003944DB" w:rsidRPr="002733DF">
        <w:rPr>
          <w:rFonts w:ascii="Times New Roman" w:hAnsi="Times New Roman" w:cs="Times New Roman"/>
          <w:sz w:val="20"/>
          <w:szCs w:val="20"/>
          <w:lang w:val="en-US"/>
        </w:rPr>
        <w:t>that s</w:t>
      </w:r>
      <w:r w:rsidR="004C704F" w:rsidRPr="002733DF">
        <w:rPr>
          <w:rFonts w:ascii="Times New Roman" w:hAnsi="Times New Roman" w:cs="Times New Roman"/>
          <w:sz w:val="20"/>
          <w:szCs w:val="20"/>
          <w:lang w:val="en-US"/>
        </w:rPr>
        <w:t xml:space="preserve">tudents who do not take tax courses receive </w:t>
      </w:r>
      <w:r w:rsidR="00E5104A" w:rsidRPr="002733DF">
        <w:rPr>
          <w:rFonts w:ascii="Times New Roman" w:hAnsi="Times New Roman" w:cs="Times New Roman"/>
          <w:sz w:val="20"/>
          <w:szCs w:val="20"/>
          <w:lang w:val="en-US"/>
        </w:rPr>
        <w:t xml:space="preserve">little </w:t>
      </w:r>
      <w:r w:rsidR="004C704F" w:rsidRPr="002733DF">
        <w:rPr>
          <w:rFonts w:ascii="Times New Roman" w:hAnsi="Times New Roman" w:cs="Times New Roman"/>
          <w:sz w:val="20"/>
          <w:szCs w:val="20"/>
          <w:lang w:val="en-US"/>
        </w:rPr>
        <w:t xml:space="preserve">training </w:t>
      </w:r>
      <w:r w:rsidR="00C64196" w:rsidRPr="002733DF">
        <w:rPr>
          <w:rFonts w:ascii="Times New Roman" w:hAnsi="Times New Roman" w:cs="Times New Roman"/>
          <w:sz w:val="20"/>
          <w:szCs w:val="20"/>
          <w:lang w:val="en-US"/>
        </w:rPr>
        <w:t xml:space="preserve">in </w:t>
      </w:r>
      <w:r w:rsidR="004C704F" w:rsidRPr="002733DF">
        <w:rPr>
          <w:rFonts w:ascii="Times New Roman" w:hAnsi="Times New Roman" w:cs="Times New Roman"/>
          <w:sz w:val="20"/>
          <w:szCs w:val="20"/>
          <w:lang w:val="en-US"/>
        </w:rPr>
        <w:t xml:space="preserve">basic tax concepts from </w:t>
      </w:r>
      <w:proofErr w:type="gramStart"/>
      <w:r w:rsidR="004C704F" w:rsidRPr="002733DF">
        <w:rPr>
          <w:rFonts w:ascii="Times New Roman" w:hAnsi="Times New Roman" w:cs="Times New Roman"/>
          <w:sz w:val="20"/>
          <w:szCs w:val="20"/>
          <w:lang w:val="en-US"/>
        </w:rPr>
        <w:t>college</w:t>
      </w:r>
      <w:r w:rsidR="009178C3" w:rsidRPr="002733DF">
        <w:rPr>
          <w:rFonts w:ascii="Times New Roman" w:hAnsi="Times New Roman" w:cs="Times New Roman"/>
          <w:sz w:val="20"/>
          <w:szCs w:val="20"/>
          <w:lang w:val="en-US"/>
        </w:rPr>
        <w:t>, but</w:t>
      </w:r>
      <w:proofErr w:type="gramEnd"/>
      <w:r w:rsidR="009178C3" w:rsidRPr="002733DF">
        <w:rPr>
          <w:rFonts w:ascii="Times New Roman" w:hAnsi="Times New Roman" w:cs="Times New Roman"/>
          <w:sz w:val="20"/>
          <w:szCs w:val="20"/>
          <w:lang w:val="en-US"/>
        </w:rPr>
        <w:t xml:space="preserve"> gain tax confidence from </w:t>
      </w:r>
      <w:r w:rsidR="006555CF" w:rsidRPr="002733DF">
        <w:rPr>
          <w:rFonts w:ascii="Times New Roman" w:hAnsi="Times New Roman" w:cs="Times New Roman"/>
          <w:sz w:val="20"/>
          <w:szCs w:val="20"/>
          <w:lang w:val="en-US"/>
        </w:rPr>
        <w:t xml:space="preserve">return-filing experience and </w:t>
      </w:r>
      <w:r w:rsidR="009178C3" w:rsidRPr="002733DF">
        <w:rPr>
          <w:rFonts w:ascii="Times New Roman" w:hAnsi="Times New Roman" w:cs="Times New Roman"/>
          <w:sz w:val="20"/>
          <w:szCs w:val="20"/>
          <w:lang w:val="en-US"/>
        </w:rPr>
        <w:t>financial transactions</w:t>
      </w:r>
      <w:r w:rsidR="004C704F" w:rsidRPr="002733DF">
        <w:rPr>
          <w:rFonts w:ascii="Times New Roman" w:hAnsi="Times New Roman" w:cs="Times New Roman"/>
          <w:sz w:val="20"/>
          <w:szCs w:val="20"/>
          <w:lang w:val="en-US"/>
        </w:rPr>
        <w:t xml:space="preserve">. </w:t>
      </w:r>
      <w:r w:rsidR="00071E2A" w:rsidRPr="002733DF">
        <w:rPr>
          <w:rFonts w:ascii="Times New Roman" w:hAnsi="Times New Roman" w:cs="Times New Roman"/>
          <w:sz w:val="20"/>
          <w:szCs w:val="20"/>
          <w:lang w:val="en-US"/>
        </w:rPr>
        <w:t xml:space="preserve">Based on </w:t>
      </w:r>
      <w:r w:rsidR="004D70DE" w:rsidRPr="002733DF">
        <w:rPr>
          <w:rFonts w:ascii="Times New Roman" w:hAnsi="Times New Roman" w:cs="Times New Roman"/>
          <w:sz w:val="20"/>
          <w:szCs w:val="20"/>
          <w:lang w:val="en-US"/>
        </w:rPr>
        <w:t>these</w:t>
      </w:r>
      <w:r w:rsidR="00071E2A" w:rsidRPr="002733DF">
        <w:rPr>
          <w:rFonts w:ascii="Times New Roman" w:hAnsi="Times New Roman" w:cs="Times New Roman"/>
          <w:sz w:val="20"/>
          <w:szCs w:val="20"/>
          <w:lang w:val="en-US"/>
        </w:rPr>
        <w:t xml:space="preserve"> findings, we recommend that schools provide tax workshops during tax season </w:t>
      </w:r>
      <w:r w:rsidR="0067023C" w:rsidRPr="002733DF">
        <w:rPr>
          <w:rFonts w:ascii="Times New Roman" w:hAnsi="Times New Roman" w:cs="Times New Roman"/>
          <w:sz w:val="20"/>
          <w:szCs w:val="20"/>
          <w:lang w:val="en-US"/>
        </w:rPr>
        <w:t>and/</w:t>
      </w:r>
      <w:r w:rsidR="00071E2A" w:rsidRPr="002733DF">
        <w:rPr>
          <w:rFonts w:ascii="Times New Roman" w:hAnsi="Times New Roman" w:cs="Times New Roman"/>
          <w:sz w:val="20"/>
          <w:szCs w:val="20"/>
          <w:lang w:val="en-US"/>
        </w:rPr>
        <w:t xml:space="preserve">or encourage students to participate in </w:t>
      </w:r>
      <w:r w:rsidR="004837E7" w:rsidRPr="002733DF">
        <w:rPr>
          <w:rFonts w:ascii="Times New Roman" w:hAnsi="Times New Roman" w:cs="Times New Roman"/>
          <w:sz w:val="20"/>
          <w:szCs w:val="20"/>
          <w:lang w:val="en-US"/>
        </w:rPr>
        <w:t xml:space="preserve">the </w:t>
      </w:r>
      <w:r w:rsidR="00071E2A" w:rsidRPr="002733DF">
        <w:rPr>
          <w:rFonts w:ascii="Times New Roman" w:hAnsi="Times New Roman" w:cs="Times New Roman"/>
          <w:sz w:val="20"/>
          <w:szCs w:val="20"/>
          <w:lang w:val="en-US"/>
        </w:rPr>
        <w:t>VITA</w:t>
      </w:r>
      <w:r w:rsidR="004837E7" w:rsidRPr="002733DF">
        <w:rPr>
          <w:rFonts w:ascii="Times New Roman" w:hAnsi="Times New Roman" w:cs="Times New Roman"/>
          <w:sz w:val="20"/>
          <w:szCs w:val="20"/>
          <w:lang w:val="en-US"/>
        </w:rPr>
        <w:t xml:space="preserve"> program</w:t>
      </w:r>
      <w:r w:rsidR="00071E2A" w:rsidRPr="002733DF">
        <w:rPr>
          <w:rFonts w:ascii="Times New Roman" w:hAnsi="Times New Roman" w:cs="Times New Roman"/>
          <w:sz w:val="20"/>
          <w:szCs w:val="20"/>
          <w:lang w:val="en-US"/>
        </w:rPr>
        <w:t xml:space="preserve">. Tax workshops </w:t>
      </w:r>
      <w:r w:rsidR="0067023C" w:rsidRPr="002733DF">
        <w:rPr>
          <w:rFonts w:ascii="Times New Roman" w:hAnsi="Times New Roman" w:cs="Times New Roman"/>
          <w:sz w:val="20"/>
          <w:szCs w:val="20"/>
          <w:lang w:val="en-US"/>
        </w:rPr>
        <w:t xml:space="preserve">are direct </w:t>
      </w:r>
      <w:r w:rsidR="00071E2A" w:rsidRPr="002733DF">
        <w:rPr>
          <w:rFonts w:ascii="Times New Roman" w:hAnsi="Times New Roman" w:cs="Times New Roman"/>
          <w:sz w:val="20"/>
          <w:szCs w:val="20"/>
          <w:lang w:val="en-US"/>
        </w:rPr>
        <w:t xml:space="preserve">ways </w:t>
      </w:r>
      <w:r w:rsidR="001F04AA" w:rsidRPr="002733DF">
        <w:rPr>
          <w:rFonts w:ascii="Times New Roman" w:hAnsi="Times New Roman" w:cs="Times New Roman"/>
          <w:sz w:val="20"/>
          <w:szCs w:val="20"/>
          <w:lang w:val="en-US"/>
        </w:rPr>
        <w:t xml:space="preserve">in which </w:t>
      </w:r>
      <w:r w:rsidR="00071E2A" w:rsidRPr="002733DF">
        <w:rPr>
          <w:rFonts w:ascii="Times New Roman" w:hAnsi="Times New Roman" w:cs="Times New Roman"/>
          <w:sz w:val="20"/>
          <w:szCs w:val="20"/>
          <w:lang w:val="en-US"/>
        </w:rPr>
        <w:t>to deliver basic tax concepts to students</w:t>
      </w:r>
      <w:r w:rsidR="00E6243F" w:rsidRPr="002733DF">
        <w:rPr>
          <w:rFonts w:ascii="Times New Roman" w:hAnsi="Times New Roman" w:cs="Times New Roman"/>
          <w:sz w:val="20"/>
          <w:szCs w:val="20"/>
          <w:lang w:val="en-US"/>
        </w:rPr>
        <w:t xml:space="preserve">, and </w:t>
      </w:r>
      <w:r w:rsidR="004837E7" w:rsidRPr="002733DF">
        <w:rPr>
          <w:rFonts w:ascii="Times New Roman" w:hAnsi="Times New Roman" w:cs="Times New Roman"/>
          <w:sz w:val="20"/>
          <w:szCs w:val="20"/>
          <w:lang w:val="en-US"/>
        </w:rPr>
        <w:t xml:space="preserve">the </w:t>
      </w:r>
      <w:r w:rsidR="00E6243F" w:rsidRPr="002733DF">
        <w:rPr>
          <w:rFonts w:ascii="Times New Roman" w:hAnsi="Times New Roman" w:cs="Times New Roman"/>
          <w:sz w:val="20"/>
          <w:szCs w:val="20"/>
          <w:lang w:val="en-US"/>
        </w:rPr>
        <w:t>VITA</w:t>
      </w:r>
      <w:r w:rsidR="004837E7" w:rsidRPr="002733DF">
        <w:rPr>
          <w:rFonts w:ascii="Times New Roman" w:hAnsi="Times New Roman" w:cs="Times New Roman"/>
          <w:sz w:val="20"/>
          <w:szCs w:val="20"/>
          <w:lang w:val="en-US"/>
        </w:rPr>
        <w:t xml:space="preserve"> program</w:t>
      </w:r>
      <w:r w:rsidR="00E6243F" w:rsidRPr="002733DF">
        <w:rPr>
          <w:rFonts w:ascii="Times New Roman" w:hAnsi="Times New Roman" w:cs="Times New Roman"/>
          <w:sz w:val="20"/>
          <w:szCs w:val="20"/>
          <w:lang w:val="en-US"/>
        </w:rPr>
        <w:t xml:space="preserve"> </w:t>
      </w:r>
      <w:r w:rsidR="0067023C" w:rsidRPr="002733DF">
        <w:rPr>
          <w:rFonts w:ascii="Times New Roman" w:hAnsi="Times New Roman" w:cs="Times New Roman"/>
          <w:sz w:val="20"/>
          <w:szCs w:val="20"/>
          <w:lang w:val="en-US"/>
        </w:rPr>
        <w:t xml:space="preserve">allows students </w:t>
      </w:r>
      <w:r w:rsidR="00E6243F" w:rsidRPr="002733DF">
        <w:rPr>
          <w:rFonts w:ascii="Times New Roman" w:hAnsi="Times New Roman" w:cs="Times New Roman"/>
          <w:sz w:val="20"/>
          <w:szCs w:val="20"/>
          <w:lang w:val="en-US"/>
        </w:rPr>
        <w:t xml:space="preserve">not only </w:t>
      </w:r>
      <w:r w:rsidR="001F04AA" w:rsidRPr="002733DF">
        <w:rPr>
          <w:rFonts w:ascii="Times New Roman" w:hAnsi="Times New Roman" w:cs="Times New Roman"/>
          <w:sz w:val="20"/>
          <w:szCs w:val="20"/>
          <w:lang w:val="en-US"/>
        </w:rPr>
        <w:t xml:space="preserve">to </w:t>
      </w:r>
      <w:r w:rsidR="0067023C" w:rsidRPr="002733DF">
        <w:rPr>
          <w:rFonts w:ascii="Times New Roman" w:hAnsi="Times New Roman" w:cs="Times New Roman"/>
          <w:sz w:val="20"/>
          <w:szCs w:val="20"/>
          <w:lang w:val="en-US"/>
        </w:rPr>
        <w:t xml:space="preserve">learn </w:t>
      </w:r>
      <w:r w:rsidR="00E6243F" w:rsidRPr="002733DF">
        <w:rPr>
          <w:rFonts w:ascii="Times New Roman" w:hAnsi="Times New Roman" w:cs="Times New Roman"/>
          <w:sz w:val="20"/>
          <w:szCs w:val="20"/>
          <w:lang w:val="en-US"/>
        </w:rPr>
        <w:t xml:space="preserve">important tax concepts but also </w:t>
      </w:r>
      <w:r w:rsidR="001F04AA" w:rsidRPr="002733DF">
        <w:rPr>
          <w:rFonts w:ascii="Times New Roman" w:hAnsi="Times New Roman" w:cs="Times New Roman"/>
          <w:sz w:val="20"/>
          <w:szCs w:val="20"/>
          <w:lang w:val="en-US"/>
        </w:rPr>
        <w:t xml:space="preserve">to </w:t>
      </w:r>
      <w:r w:rsidR="00E04D61" w:rsidRPr="002733DF">
        <w:rPr>
          <w:rFonts w:ascii="Times New Roman" w:hAnsi="Times New Roman" w:cs="Times New Roman"/>
          <w:sz w:val="20"/>
          <w:szCs w:val="20"/>
          <w:lang w:val="en-US"/>
        </w:rPr>
        <w:t>gain experience in filing tax returns</w:t>
      </w:r>
      <w:r w:rsidR="00E6243F" w:rsidRPr="002733DF">
        <w:rPr>
          <w:rFonts w:ascii="Times New Roman" w:hAnsi="Times New Roman" w:cs="Times New Roman"/>
          <w:sz w:val="20"/>
          <w:szCs w:val="20"/>
          <w:lang w:val="en-US"/>
        </w:rPr>
        <w:t>.</w:t>
      </w:r>
      <w:r w:rsidR="002733DF">
        <w:rPr>
          <w:rFonts w:ascii="Times New Roman" w:hAnsi="Times New Roman" w:cs="Times New Roman"/>
          <w:sz w:val="20"/>
          <w:szCs w:val="20"/>
          <w:lang w:val="en-US"/>
        </w:rPr>
        <w:t xml:space="preserve">  </w:t>
      </w:r>
    </w:p>
    <w:p w14:paraId="3B286F31" w14:textId="77777777" w:rsidR="002733DF" w:rsidRPr="002733DF" w:rsidRDefault="002733DF" w:rsidP="00C45D4F">
      <w:pPr>
        <w:rPr>
          <w:rFonts w:ascii="Times New Roman" w:hAnsi="Times New Roman" w:cs="Times New Roman"/>
          <w:sz w:val="20"/>
          <w:szCs w:val="20"/>
          <w:lang w:val="en-US"/>
        </w:rPr>
      </w:pPr>
    </w:p>
    <w:p w14:paraId="6E3F3167" w14:textId="6466314E" w:rsidR="003944DB" w:rsidRPr="002733DF" w:rsidRDefault="003944DB" w:rsidP="00C45D4F">
      <w:pPr>
        <w:rPr>
          <w:rFonts w:ascii="Times New Roman" w:hAnsi="Times New Roman" w:cs="Times New Roman"/>
          <w:sz w:val="20"/>
          <w:szCs w:val="20"/>
          <w:lang w:val="en-US"/>
        </w:rPr>
      </w:pPr>
      <w:r w:rsidRPr="002733DF">
        <w:rPr>
          <w:rFonts w:ascii="Times New Roman" w:hAnsi="Times New Roman" w:cs="Times New Roman"/>
          <w:sz w:val="20"/>
          <w:szCs w:val="20"/>
          <w:lang w:val="en-US"/>
        </w:rPr>
        <w:t xml:space="preserve">This study is important because </w:t>
      </w:r>
      <w:r w:rsidR="002D62B3" w:rsidRPr="002733DF">
        <w:rPr>
          <w:rFonts w:ascii="Times New Roman" w:hAnsi="Times New Roman" w:cs="Times New Roman"/>
          <w:sz w:val="20"/>
          <w:szCs w:val="20"/>
          <w:lang w:val="en-US"/>
        </w:rPr>
        <w:t xml:space="preserve">even though </w:t>
      </w:r>
      <w:r w:rsidRPr="002733DF">
        <w:rPr>
          <w:rFonts w:ascii="Times New Roman" w:hAnsi="Times New Roman" w:cs="Times New Roman"/>
          <w:sz w:val="20"/>
          <w:szCs w:val="20"/>
          <w:lang w:val="en-US"/>
        </w:rPr>
        <w:t xml:space="preserve">tax literacy is critical to financial success, it is often </w:t>
      </w:r>
      <w:r w:rsidR="000D3CFF" w:rsidRPr="002733DF">
        <w:rPr>
          <w:rFonts w:ascii="Times New Roman" w:hAnsi="Times New Roman" w:cs="Times New Roman"/>
          <w:sz w:val="20"/>
          <w:szCs w:val="20"/>
          <w:lang w:val="en-US"/>
        </w:rPr>
        <w:t>omitted from</w:t>
      </w:r>
      <w:r w:rsidRPr="002733DF">
        <w:rPr>
          <w:rFonts w:ascii="Times New Roman" w:hAnsi="Times New Roman" w:cs="Times New Roman"/>
          <w:sz w:val="20"/>
          <w:szCs w:val="20"/>
          <w:lang w:val="en-US"/>
        </w:rPr>
        <w:t xml:space="preserve"> the broader financial literacy discussion.</w:t>
      </w:r>
      <w:r w:rsidR="00BD7563" w:rsidRPr="002733DF">
        <w:rPr>
          <w:rFonts w:ascii="Times New Roman" w:hAnsi="Times New Roman" w:cs="Times New Roman"/>
          <w:sz w:val="20"/>
          <w:szCs w:val="20"/>
          <w:lang w:val="en-US"/>
        </w:rPr>
        <w:t xml:space="preserve"> Tax literacy is also positively correlated with tax compliance (</w:t>
      </w:r>
      <w:r w:rsidR="00B31550" w:rsidRPr="002733DF">
        <w:rPr>
          <w:rFonts w:ascii="Times New Roman" w:hAnsi="Times New Roman" w:cs="Times New Roman"/>
          <w:sz w:val="20"/>
          <w:szCs w:val="20"/>
          <w:lang w:val="en-US"/>
        </w:rPr>
        <w:t>Eriksen and Fallen, 1996;</w:t>
      </w:r>
      <w:r w:rsidR="000D3CFF" w:rsidRPr="002733DF">
        <w:rPr>
          <w:rFonts w:ascii="Times New Roman" w:hAnsi="Times New Roman" w:cs="Times New Roman"/>
          <w:sz w:val="20"/>
          <w:szCs w:val="20"/>
          <w:lang w:val="en-US"/>
        </w:rPr>
        <w:t xml:space="preserve"> </w:t>
      </w:r>
      <w:proofErr w:type="spellStart"/>
      <w:r w:rsidR="000D3CFF" w:rsidRPr="002733DF">
        <w:rPr>
          <w:rFonts w:ascii="Times New Roman" w:hAnsi="Times New Roman" w:cs="Times New Roman"/>
          <w:sz w:val="20"/>
          <w:szCs w:val="20"/>
          <w:lang w:val="en-US"/>
        </w:rPr>
        <w:t>Cechovsky</w:t>
      </w:r>
      <w:proofErr w:type="spellEnd"/>
      <w:r w:rsidR="00B31550" w:rsidRPr="002733DF">
        <w:rPr>
          <w:rFonts w:ascii="Times New Roman" w:hAnsi="Times New Roman" w:cs="Times New Roman"/>
          <w:sz w:val="20"/>
          <w:szCs w:val="20"/>
          <w:lang w:val="en-US"/>
        </w:rPr>
        <w:t>,</w:t>
      </w:r>
      <w:r w:rsidR="000D3CFF" w:rsidRPr="002733DF">
        <w:rPr>
          <w:rFonts w:ascii="Times New Roman" w:hAnsi="Times New Roman" w:cs="Times New Roman"/>
          <w:sz w:val="20"/>
          <w:szCs w:val="20"/>
          <w:lang w:val="en-US"/>
        </w:rPr>
        <w:t xml:space="preserve"> 2018)</w:t>
      </w:r>
      <w:r w:rsidR="00BD7563" w:rsidRPr="002733DF">
        <w:rPr>
          <w:rFonts w:ascii="Times New Roman" w:hAnsi="Times New Roman" w:cs="Times New Roman"/>
          <w:sz w:val="20"/>
          <w:szCs w:val="20"/>
          <w:lang w:val="en-US"/>
        </w:rPr>
        <w:t>.</w:t>
      </w:r>
      <w:r w:rsidRPr="002733DF">
        <w:rPr>
          <w:rFonts w:ascii="Times New Roman" w:hAnsi="Times New Roman" w:cs="Times New Roman"/>
          <w:sz w:val="20"/>
          <w:szCs w:val="20"/>
          <w:lang w:val="en-US"/>
        </w:rPr>
        <w:t xml:space="preserve"> Inst</w:t>
      </w:r>
      <w:r w:rsidR="008D4F44" w:rsidRPr="002733DF">
        <w:rPr>
          <w:rFonts w:ascii="Times New Roman" w:hAnsi="Times New Roman" w:cs="Times New Roman"/>
          <w:sz w:val="20"/>
          <w:szCs w:val="20"/>
          <w:lang w:val="en-US"/>
        </w:rPr>
        <w:t>i</w:t>
      </w:r>
      <w:r w:rsidRPr="002733DF">
        <w:rPr>
          <w:rFonts w:ascii="Times New Roman" w:hAnsi="Times New Roman" w:cs="Times New Roman"/>
          <w:sz w:val="20"/>
          <w:szCs w:val="20"/>
          <w:lang w:val="en-US"/>
        </w:rPr>
        <w:t xml:space="preserve">lling tax knowledge in young adults </w:t>
      </w:r>
      <w:r w:rsidR="008D4F44" w:rsidRPr="002733DF">
        <w:rPr>
          <w:rFonts w:ascii="Times New Roman" w:hAnsi="Times New Roman" w:cs="Times New Roman"/>
          <w:sz w:val="20"/>
          <w:szCs w:val="20"/>
          <w:lang w:val="en-US"/>
        </w:rPr>
        <w:t>helps</w:t>
      </w:r>
      <w:r w:rsidR="002D62B3" w:rsidRPr="002733DF">
        <w:rPr>
          <w:rFonts w:ascii="Times New Roman" w:hAnsi="Times New Roman" w:cs="Times New Roman"/>
          <w:sz w:val="20"/>
          <w:szCs w:val="20"/>
          <w:lang w:val="en-US"/>
        </w:rPr>
        <w:t xml:space="preserve"> </w:t>
      </w:r>
      <w:r w:rsidR="000D3CFF" w:rsidRPr="002733DF">
        <w:rPr>
          <w:rFonts w:ascii="Times New Roman" w:hAnsi="Times New Roman" w:cs="Times New Roman"/>
          <w:sz w:val="20"/>
          <w:szCs w:val="20"/>
          <w:lang w:val="en-US"/>
        </w:rPr>
        <w:t xml:space="preserve">foster tax confidence, which is </w:t>
      </w:r>
      <w:r w:rsidR="00F23C82" w:rsidRPr="002733DF">
        <w:rPr>
          <w:rFonts w:ascii="Times New Roman" w:hAnsi="Times New Roman" w:cs="Times New Roman"/>
          <w:sz w:val="20"/>
          <w:szCs w:val="20"/>
          <w:lang w:val="en-US"/>
        </w:rPr>
        <w:t xml:space="preserve">especially important </w:t>
      </w:r>
      <w:r w:rsidR="001F04AA" w:rsidRPr="002733DF">
        <w:rPr>
          <w:rFonts w:ascii="Times New Roman" w:hAnsi="Times New Roman" w:cs="Times New Roman"/>
          <w:sz w:val="20"/>
          <w:szCs w:val="20"/>
          <w:lang w:val="en-US"/>
        </w:rPr>
        <w:t>for them</w:t>
      </w:r>
      <w:r w:rsidR="00BB3FB4" w:rsidRPr="002733DF">
        <w:rPr>
          <w:rFonts w:ascii="Times New Roman" w:hAnsi="Times New Roman" w:cs="Times New Roman"/>
          <w:sz w:val="20"/>
          <w:szCs w:val="20"/>
          <w:lang w:val="en-US"/>
        </w:rPr>
        <w:t>,</w:t>
      </w:r>
      <w:r w:rsidR="00F23C82" w:rsidRPr="002733DF">
        <w:rPr>
          <w:rFonts w:ascii="Times New Roman" w:hAnsi="Times New Roman" w:cs="Times New Roman"/>
          <w:sz w:val="20"/>
          <w:szCs w:val="20"/>
          <w:lang w:val="en-US"/>
        </w:rPr>
        <w:t xml:space="preserve"> </w:t>
      </w:r>
      <w:r w:rsidR="00402C9D" w:rsidRPr="002733DF">
        <w:rPr>
          <w:rFonts w:ascii="Times New Roman" w:hAnsi="Times New Roman" w:cs="Times New Roman"/>
          <w:sz w:val="20"/>
          <w:szCs w:val="20"/>
          <w:lang w:val="en-US"/>
        </w:rPr>
        <w:t xml:space="preserve">since </w:t>
      </w:r>
      <w:r w:rsidRPr="002733DF">
        <w:rPr>
          <w:rFonts w:ascii="Times New Roman" w:hAnsi="Times New Roman" w:cs="Times New Roman"/>
          <w:sz w:val="20"/>
          <w:szCs w:val="20"/>
          <w:lang w:val="en-US"/>
        </w:rPr>
        <w:t xml:space="preserve">many of </w:t>
      </w:r>
      <w:r w:rsidR="00402C9D" w:rsidRPr="002733DF">
        <w:rPr>
          <w:rFonts w:ascii="Times New Roman" w:hAnsi="Times New Roman" w:cs="Times New Roman"/>
          <w:sz w:val="20"/>
          <w:szCs w:val="20"/>
          <w:lang w:val="en-US"/>
        </w:rPr>
        <w:t xml:space="preserve">them </w:t>
      </w:r>
      <w:r w:rsidRPr="002733DF">
        <w:rPr>
          <w:rFonts w:ascii="Times New Roman" w:hAnsi="Times New Roman" w:cs="Times New Roman"/>
          <w:sz w:val="20"/>
          <w:szCs w:val="20"/>
          <w:lang w:val="en-US"/>
        </w:rPr>
        <w:t>start to generate taxable income and file income tax returns in college.</w:t>
      </w:r>
      <w:r w:rsidR="000D3CFF" w:rsidRPr="002733DF">
        <w:rPr>
          <w:rFonts w:ascii="Times New Roman" w:hAnsi="Times New Roman" w:cs="Times New Roman"/>
          <w:sz w:val="20"/>
          <w:szCs w:val="20"/>
          <w:lang w:val="en-US"/>
        </w:rPr>
        <w:t xml:space="preserve"> While </w:t>
      </w:r>
      <w:r w:rsidR="00665D0E" w:rsidRPr="002733DF">
        <w:rPr>
          <w:rFonts w:ascii="Times New Roman" w:hAnsi="Times New Roman" w:cs="Times New Roman"/>
          <w:sz w:val="20"/>
          <w:szCs w:val="20"/>
          <w:lang w:val="en-US"/>
        </w:rPr>
        <w:t>there are</w:t>
      </w:r>
      <w:r w:rsidR="00F23C82" w:rsidRPr="002733DF">
        <w:rPr>
          <w:rFonts w:ascii="Times New Roman" w:hAnsi="Times New Roman" w:cs="Times New Roman"/>
          <w:sz w:val="20"/>
          <w:szCs w:val="20"/>
          <w:lang w:val="en-US"/>
        </w:rPr>
        <w:t xml:space="preserve"> </w:t>
      </w:r>
      <w:r w:rsidR="00202538" w:rsidRPr="002733DF">
        <w:rPr>
          <w:rFonts w:ascii="Times New Roman" w:hAnsi="Times New Roman" w:cs="Times New Roman"/>
          <w:sz w:val="20"/>
          <w:szCs w:val="20"/>
          <w:lang w:val="en-US"/>
        </w:rPr>
        <w:t xml:space="preserve">some </w:t>
      </w:r>
      <w:r w:rsidR="00F23C82" w:rsidRPr="002733DF">
        <w:rPr>
          <w:rFonts w:ascii="Times New Roman" w:hAnsi="Times New Roman" w:cs="Times New Roman"/>
          <w:sz w:val="20"/>
          <w:szCs w:val="20"/>
          <w:lang w:val="en-US"/>
        </w:rPr>
        <w:t xml:space="preserve">international </w:t>
      </w:r>
      <w:r w:rsidR="000D3CFF" w:rsidRPr="002733DF">
        <w:rPr>
          <w:rFonts w:ascii="Times New Roman" w:hAnsi="Times New Roman" w:cs="Times New Roman"/>
          <w:sz w:val="20"/>
          <w:szCs w:val="20"/>
          <w:lang w:val="en-US"/>
        </w:rPr>
        <w:t>studies</w:t>
      </w:r>
      <w:r w:rsidR="00F23C82" w:rsidRPr="002733DF">
        <w:rPr>
          <w:rFonts w:ascii="Times New Roman" w:hAnsi="Times New Roman" w:cs="Times New Roman"/>
          <w:sz w:val="20"/>
          <w:szCs w:val="20"/>
          <w:lang w:val="en-US"/>
        </w:rPr>
        <w:t>,</w:t>
      </w:r>
      <w:r w:rsidR="000D3CFF" w:rsidRPr="002733DF">
        <w:rPr>
          <w:rFonts w:ascii="Times New Roman" w:hAnsi="Times New Roman" w:cs="Times New Roman"/>
          <w:sz w:val="20"/>
          <w:szCs w:val="20"/>
          <w:lang w:val="en-US"/>
        </w:rPr>
        <w:t xml:space="preserve"> little is known about US college students’ tax literacy and tax confidence. To our knowledge, this is</w:t>
      </w:r>
      <w:r w:rsidRPr="002733DF">
        <w:rPr>
          <w:rFonts w:ascii="Times New Roman" w:hAnsi="Times New Roman" w:cs="Times New Roman"/>
          <w:sz w:val="20"/>
          <w:szCs w:val="20"/>
          <w:lang w:val="en-US"/>
        </w:rPr>
        <w:t xml:space="preserve"> </w:t>
      </w:r>
      <w:r w:rsidR="000D3CFF" w:rsidRPr="002733DF">
        <w:rPr>
          <w:rFonts w:ascii="Times New Roman" w:hAnsi="Times New Roman" w:cs="Times New Roman"/>
          <w:sz w:val="20"/>
          <w:szCs w:val="20"/>
          <w:lang w:val="en-US"/>
        </w:rPr>
        <w:t xml:space="preserve">the first study that provides evidence </w:t>
      </w:r>
      <w:r w:rsidR="002D62B3" w:rsidRPr="002733DF">
        <w:rPr>
          <w:rFonts w:ascii="Times New Roman" w:hAnsi="Times New Roman" w:cs="Times New Roman"/>
          <w:sz w:val="20"/>
          <w:szCs w:val="20"/>
          <w:lang w:val="en-US"/>
        </w:rPr>
        <w:t xml:space="preserve">pertaining to </w:t>
      </w:r>
      <w:r w:rsidR="000D3CFF" w:rsidRPr="002733DF">
        <w:rPr>
          <w:rFonts w:ascii="Times New Roman" w:hAnsi="Times New Roman" w:cs="Times New Roman"/>
          <w:sz w:val="20"/>
          <w:szCs w:val="20"/>
          <w:lang w:val="en-US"/>
        </w:rPr>
        <w:t xml:space="preserve">US college students’ tax literacy levels. Moreover, our study differs from prior tax literacy studies in that we </w:t>
      </w:r>
      <w:r w:rsidR="002D62B3" w:rsidRPr="002733DF">
        <w:rPr>
          <w:rFonts w:ascii="Times New Roman" w:hAnsi="Times New Roman" w:cs="Times New Roman"/>
          <w:sz w:val="20"/>
          <w:szCs w:val="20"/>
          <w:lang w:val="en-US"/>
        </w:rPr>
        <w:t xml:space="preserve">utilize </w:t>
      </w:r>
      <w:r w:rsidR="000D3CFF" w:rsidRPr="002733DF">
        <w:rPr>
          <w:rFonts w:ascii="Times New Roman" w:hAnsi="Times New Roman" w:cs="Times New Roman"/>
          <w:sz w:val="20"/>
          <w:szCs w:val="20"/>
          <w:lang w:val="en-US"/>
        </w:rPr>
        <w:t xml:space="preserve">multivariate regression </w:t>
      </w:r>
      <w:r w:rsidR="00F23C82" w:rsidRPr="002733DF">
        <w:rPr>
          <w:rFonts w:ascii="Times New Roman" w:hAnsi="Times New Roman" w:cs="Times New Roman"/>
          <w:sz w:val="20"/>
          <w:szCs w:val="20"/>
          <w:lang w:val="en-US"/>
        </w:rPr>
        <w:t xml:space="preserve">and </w:t>
      </w:r>
      <w:r w:rsidR="000D3CFF" w:rsidRPr="002733DF">
        <w:rPr>
          <w:rFonts w:ascii="Times New Roman" w:hAnsi="Times New Roman" w:cs="Times New Roman"/>
          <w:sz w:val="20"/>
          <w:szCs w:val="20"/>
          <w:lang w:val="en-US"/>
        </w:rPr>
        <w:t>contro</w:t>
      </w:r>
      <w:r w:rsidR="002D62B3" w:rsidRPr="002733DF">
        <w:rPr>
          <w:rFonts w:ascii="Times New Roman" w:hAnsi="Times New Roman" w:cs="Times New Roman"/>
          <w:sz w:val="20"/>
          <w:szCs w:val="20"/>
          <w:lang w:val="en-US"/>
        </w:rPr>
        <w:t>l</w:t>
      </w:r>
      <w:r w:rsidR="000D3CFF" w:rsidRPr="002733DF">
        <w:rPr>
          <w:rFonts w:ascii="Times New Roman" w:hAnsi="Times New Roman" w:cs="Times New Roman"/>
          <w:sz w:val="20"/>
          <w:szCs w:val="20"/>
          <w:lang w:val="en-US"/>
        </w:rPr>
        <w:t xml:space="preserve"> </w:t>
      </w:r>
      <w:r w:rsidR="00F23C82" w:rsidRPr="002733DF">
        <w:rPr>
          <w:rFonts w:ascii="Times New Roman" w:hAnsi="Times New Roman" w:cs="Times New Roman"/>
          <w:sz w:val="20"/>
          <w:szCs w:val="20"/>
          <w:lang w:val="en-US"/>
        </w:rPr>
        <w:t>for various</w:t>
      </w:r>
      <w:r w:rsidR="000D3CFF" w:rsidRPr="002733DF">
        <w:rPr>
          <w:rFonts w:ascii="Times New Roman" w:hAnsi="Times New Roman" w:cs="Times New Roman"/>
          <w:sz w:val="20"/>
          <w:szCs w:val="20"/>
          <w:lang w:val="en-US"/>
        </w:rPr>
        <w:t xml:space="preserve"> socio-economic factors</w:t>
      </w:r>
      <w:r w:rsidR="00402C9D" w:rsidRPr="002733DF">
        <w:rPr>
          <w:rFonts w:ascii="Times New Roman" w:hAnsi="Times New Roman" w:cs="Times New Roman"/>
          <w:sz w:val="20"/>
          <w:szCs w:val="20"/>
          <w:lang w:val="en-US"/>
        </w:rPr>
        <w:t xml:space="preserve"> in our models</w:t>
      </w:r>
      <w:r w:rsidR="000D3CFF" w:rsidRPr="002733DF">
        <w:rPr>
          <w:rFonts w:ascii="Times New Roman" w:hAnsi="Times New Roman" w:cs="Times New Roman"/>
          <w:sz w:val="20"/>
          <w:szCs w:val="20"/>
          <w:lang w:val="en-US"/>
        </w:rPr>
        <w:t xml:space="preserve">. </w:t>
      </w:r>
      <w:r w:rsidR="00F23C82" w:rsidRPr="002733DF">
        <w:rPr>
          <w:rFonts w:ascii="Times New Roman" w:hAnsi="Times New Roman" w:cs="Times New Roman"/>
          <w:sz w:val="20"/>
          <w:szCs w:val="20"/>
          <w:lang w:val="en-US"/>
        </w:rPr>
        <w:t>Based on the empirical findings, w</w:t>
      </w:r>
      <w:r w:rsidR="00FC7334" w:rsidRPr="002733DF">
        <w:rPr>
          <w:rFonts w:ascii="Times New Roman" w:hAnsi="Times New Roman" w:cs="Times New Roman"/>
          <w:sz w:val="20"/>
          <w:szCs w:val="20"/>
          <w:lang w:val="en-US"/>
        </w:rPr>
        <w:t>e provide several recommen</w:t>
      </w:r>
      <w:r w:rsidR="00340281" w:rsidRPr="002733DF">
        <w:rPr>
          <w:rFonts w:ascii="Times New Roman" w:hAnsi="Times New Roman" w:cs="Times New Roman"/>
          <w:sz w:val="20"/>
          <w:szCs w:val="20"/>
          <w:lang w:val="en-US"/>
        </w:rPr>
        <w:t>dations to college educators on how to improve</w:t>
      </w:r>
      <w:r w:rsidR="00FC7334" w:rsidRPr="002733DF">
        <w:rPr>
          <w:rFonts w:ascii="Times New Roman" w:hAnsi="Times New Roman" w:cs="Times New Roman"/>
          <w:sz w:val="20"/>
          <w:szCs w:val="20"/>
          <w:lang w:val="en-US"/>
        </w:rPr>
        <w:t xml:space="preserve"> </w:t>
      </w:r>
      <w:r w:rsidR="00340281" w:rsidRPr="002733DF">
        <w:rPr>
          <w:rFonts w:ascii="Times New Roman" w:hAnsi="Times New Roman" w:cs="Times New Roman"/>
          <w:sz w:val="20"/>
          <w:szCs w:val="20"/>
          <w:lang w:val="en-US"/>
        </w:rPr>
        <w:t>students’ tax literacy levels</w:t>
      </w:r>
      <w:r w:rsidR="00FC7334" w:rsidRPr="002733DF">
        <w:rPr>
          <w:rFonts w:ascii="Times New Roman" w:hAnsi="Times New Roman" w:cs="Times New Roman"/>
          <w:sz w:val="20"/>
          <w:szCs w:val="20"/>
          <w:lang w:val="en-US"/>
        </w:rPr>
        <w:t xml:space="preserve">. Future studies may </w:t>
      </w:r>
      <w:r w:rsidR="00F23C82" w:rsidRPr="002733DF">
        <w:rPr>
          <w:rFonts w:ascii="Times New Roman" w:hAnsi="Times New Roman" w:cs="Times New Roman"/>
          <w:sz w:val="20"/>
          <w:szCs w:val="20"/>
          <w:lang w:val="en-US"/>
        </w:rPr>
        <w:t>extend this research line and investigate</w:t>
      </w:r>
      <w:r w:rsidR="00FC7334" w:rsidRPr="002733DF">
        <w:rPr>
          <w:rFonts w:ascii="Times New Roman" w:hAnsi="Times New Roman" w:cs="Times New Roman"/>
          <w:sz w:val="20"/>
          <w:szCs w:val="20"/>
          <w:lang w:val="en-US"/>
        </w:rPr>
        <w:t xml:space="preserve"> the effectiveness of these extracurricular activities in increasing tax literacy and tax confidence </w:t>
      </w:r>
      <w:r w:rsidR="002D62B3" w:rsidRPr="002733DF">
        <w:rPr>
          <w:rFonts w:ascii="Times New Roman" w:hAnsi="Times New Roman" w:cs="Times New Roman"/>
          <w:sz w:val="20"/>
          <w:szCs w:val="20"/>
          <w:lang w:val="en-US"/>
        </w:rPr>
        <w:t xml:space="preserve">among </w:t>
      </w:r>
      <w:r w:rsidR="00FC7334" w:rsidRPr="002733DF">
        <w:rPr>
          <w:rFonts w:ascii="Times New Roman" w:hAnsi="Times New Roman" w:cs="Times New Roman"/>
          <w:sz w:val="20"/>
          <w:szCs w:val="20"/>
          <w:lang w:val="en-US"/>
        </w:rPr>
        <w:t>students.</w:t>
      </w:r>
      <w:r w:rsidR="002733DF">
        <w:rPr>
          <w:rFonts w:ascii="Times New Roman" w:hAnsi="Times New Roman" w:cs="Times New Roman"/>
          <w:sz w:val="20"/>
          <w:szCs w:val="20"/>
          <w:lang w:val="en-US"/>
        </w:rPr>
        <w:t xml:space="preserve">  </w:t>
      </w:r>
    </w:p>
    <w:p w14:paraId="30083CFB" w14:textId="77777777" w:rsidR="00CD14C9" w:rsidRPr="002733DF" w:rsidRDefault="00CD14C9" w:rsidP="00C45D4F">
      <w:pPr>
        <w:rPr>
          <w:rFonts w:ascii="Times New Roman" w:hAnsi="Times New Roman" w:cs="Times New Roman"/>
          <w:sz w:val="20"/>
          <w:szCs w:val="20"/>
          <w:lang w:val="en-US"/>
        </w:rPr>
      </w:pPr>
    </w:p>
    <w:p w14:paraId="3C3EDFF4" w14:textId="2B2CAFED" w:rsidR="00664EE8" w:rsidRPr="002733DF" w:rsidRDefault="00664EE8" w:rsidP="00C45D4F">
      <w:pPr>
        <w:rPr>
          <w:rFonts w:ascii="Times New Roman" w:hAnsi="Times New Roman" w:cs="Times New Roman"/>
          <w:b/>
          <w:sz w:val="20"/>
          <w:szCs w:val="20"/>
          <w:lang w:val="en-US"/>
        </w:rPr>
      </w:pPr>
      <w:r w:rsidRPr="002733DF">
        <w:rPr>
          <w:rFonts w:ascii="Times New Roman" w:hAnsi="Times New Roman" w:cs="Times New Roman"/>
          <w:b/>
          <w:sz w:val="20"/>
          <w:szCs w:val="20"/>
          <w:lang w:val="en-US"/>
        </w:rPr>
        <w:t>Research Limitations</w:t>
      </w:r>
    </w:p>
    <w:p w14:paraId="0B58DDC0" w14:textId="77777777" w:rsidR="002733DF" w:rsidRDefault="002733DF" w:rsidP="00C45D4F">
      <w:pPr>
        <w:rPr>
          <w:rFonts w:ascii="Times New Roman" w:hAnsi="Times New Roman" w:cs="Times New Roman"/>
          <w:sz w:val="20"/>
          <w:szCs w:val="20"/>
          <w:lang w:val="en-US"/>
        </w:rPr>
      </w:pPr>
    </w:p>
    <w:p w14:paraId="22E59CA0" w14:textId="50A5032A" w:rsidR="009178C3" w:rsidRPr="002733DF" w:rsidRDefault="00665D0E" w:rsidP="00C45D4F">
      <w:pPr>
        <w:rPr>
          <w:rFonts w:ascii="Times New Roman" w:hAnsi="Times New Roman" w:cs="Times New Roman"/>
          <w:sz w:val="20"/>
          <w:szCs w:val="20"/>
          <w:lang w:val="en-US"/>
        </w:rPr>
      </w:pPr>
      <w:r w:rsidRPr="002733DF">
        <w:rPr>
          <w:rFonts w:ascii="Times New Roman" w:hAnsi="Times New Roman" w:cs="Times New Roman"/>
          <w:sz w:val="20"/>
          <w:szCs w:val="20"/>
          <w:lang w:val="en-US"/>
        </w:rPr>
        <w:t>Our research is subject to limitations. First, o</w:t>
      </w:r>
      <w:r w:rsidR="009178C3" w:rsidRPr="002733DF">
        <w:rPr>
          <w:rFonts w:ascii="Times New Roman" w:hAnsi="Times New Roman" w:cs="Times New Roman"/>
          <w:sz w:val="20"/>
          <w:szCs w:val="20"/>
          <w:lang w:val="en-US"/>
        </w:rPr>
        <w:t xml:space="preserve">ur survey was conducted in a private college located in New York City. Since students </w:t>
      </w:r>
      <w:r w:rsidR="00D57EC6" w:rsidRPr="002733DF">
        <w:rPr>
          <w:rFonts w:ascii="Times New Roman" w:hAnsi="Times New Roman" w:cs="Times New Roman"/>
          <w:sz w:val="20"/>
          <w:szCs w:val="20"/>
          <w:lang w:val="en-US"/>
        </w:rPr>
        <w:t xml:space="preserve">who </w:t>
      </w:r>
      <w:r w:rsidR="009178C3" w:rsidRPr="002733DF">
        <w:rPr>
          <w:rFonts w:ascii="Times New Roman" w:hAnsi="Times New Roman" w:cs="Times New Roman"/>
          <w:sz w:val="20"/>
          <w:szCs w:val="20"/>
          <w:lang w:val="en-US"/>
        </w:rPr>
        <w:t>enroll in a regional private college may come from a less diverse demographic</w:t>
      </w:r>
      <w:r w:rsidR="00D57EC6" w:rsidRPr="002733DF">
        <w:rPr>
          <w:rFonts w:ascii="Times New Roman" w:hAnsi="Times New Roman" w:cs="Times New Roman"/>
          <w:sz w:val="20"/>
          <w:szCs w:val="20"/>
          <w:lang w:val="en-US"/>
        </w:rPr>
        <w:t xml:space="preserve"> background</w:t>
      </w:r>
      <w:r w:rsidR="009178C3" w:rsidRPr="002733DF">
        <w:rPr>
          <w:rFonts w:ascii="Times New Roman" w:hAnsi="Times New Roman" w:cs="Times New Roman"/>
          <w:sz w:val="20"/>
          <w:szCs w:val="20"/>
          <w:lang w:val="en-US"/>
        </w:rPr>
        <w:t>, the survey participants may not represent all college students in the nation.</w:t>
      </w:r>
      <w:r w:rsidRPr="002733DF">
        <w:rPr>
          <w:rFonts w:ascii="Times New Roman" w:hAnsi="Times New Roman" w:cs="Times New Roman"/>
          <w:sz w:val="20"/>
          <w:szCs w:val="20"/>
          <w:lang w:val="en-US"/>
        </w:rPr>
        <w:t xml:space="preserve"> Second, the</w:t>
      </w:r>
      <w:r w:rsidR="00D00439" w:rsidRPr="002733DF">
        <w:rPr>
          <w:rFonts w:ascii="Times New Roman" w:hAnsi="Times New Roman" w:cs="Times New Roman"/>
          <w:sz w:val="20"/>
          <w:szCs w:val="20"/>
          <w:lang w:val="en-US"/>
        </w:rPr>
        <w:t xml:space="preserve"> most of our</w:t>
      </w:r>
      <w:r w:rsidRPr="002733DF">
        <w:rPr>
          <w:rFonts w:ascii="Times New Roman" w:hAnsi="Times New Roman" w:cs="Times New Roman"/>
          <w:sz w:val="20"/>
          <w:szCs w:val="20"/>
          <w:lang w:val="en-US"/>
        </w:rPr>
        <w:t xml:space="preserve"> survey was conducted during the coronavirus pandemic and the sample size is small. </w:t>
      </w:r>
      <w:r w:rsidR="00664EE8" w:rsidRPr="002733DF">
        <w:rPr>
          <w:rFonts w:ascii="Times New Roman" w:hAnsi="Times New Roman" w:cs="Times New Roman"/>
          <w:sz w:val="20"/>
          <w:szCs w:val="20"/>
          <w:lang w:val="en-US"/>
        </w:rPr>
        <w:t>While it is difficult for us to determine how the survey results would be different in a year without the effect of the pandemic, it is possible that if the survey had a</w:t>
      </w:r>
      <w:r w:rsidRPr="002733DF">
        <w:rPr>
          <w:rFonts w:ascii="Times New Roman" w:hAnsi="Times New Roman" w:cs="Times New Roman"/>
          <w:sz w:val="20"/>
          <w:szCs w:val="20"/>
          <w:lang w:val="en-US"/>
        </w:rPr>
        <w:t xml:space="preserve"> larger sample </w:t>
      </w:r>
      <w:r w:rsidR="00664EE8" w:rsidRPr="002733DF">
        <w:rPr>
          <w:rFonts w:ascii="Times New Roman" w:hAnsi="Times New Roman" w:cs="Times New Roman"/>
          <w:sz w:val="20"/>
          <w:szCs w:val="20"/>
          <w:lang w:val="en-US"/>
        </w:rPr>
        <w:t>the</w:t>
      </w:r>
      <w:r w:rsidRPr="002733DF">
        <w:rPr>
          <w:rFonts w:ascii="Times New Roman" w:hAnsi="Times New Roman" w:cs="Times New Roman"/>
          <w:sz w:val="20"/>
          <w:szCs w:val="20"/>
          <w:lang w:val="en-US"/>
        </w:rPr>
        <w:t xml:space="preserve"> results</w:t>
      </w:r>
      <w:r w:rsidR="00664EE8" w:rsidRPr="002733DF">
        <w:rPr>
          <w:rFonts w:ascii="Times New Roman" w:hAnsi="Times New Roman" w:cs="Times New Roman"/>
          <w:sz w:val="20"/>
          <w:szCs w:val="20"/>
          <w:lang w:val="en-US"/>
        </w:rPr>
        <w:t xml:space="preserve"> may be different</w:t>
      </w:r>
      <w:r w:rsidRPr="002733DF">
        <w:rPr>
          <w:rFonts w:ascii="Times New Roman" w:hAnsi="Times New Roman" w:cs="Times New Roman"/>
          <w:sz w:val="20"/>
          <w:szCs w:val="20"/>
          <w:lang w:val="en-US"/>
        </w:rPr>
        <w:t>.</w:t>
      </w:r>
      <w:r w:rsidR="00C45D4F">
        <w:rPr>
          <w:rFonts w:ascii="Times New Roman" w:hAnsi="Times New Roman" w:cs="Times New Roman"/>
          <w:sz w:val="20"/>
          <w:szCs w:val="20"/>
          <w:lang w:val="en-US"/>
        </w:rPr>
        <w:t xml:space="preserve">  </w:t>
      </w:r>
    </w:p>
    <w:p w14:paraId="6EA79B3E" w14:textId="3610CB4D" w:rsidR="00A9379D" w:rsidRPr="00062BF4" w:rsidRDefault="00A9379D" w:rsidP="00C45D4F">
      <w:pPr>
        <w:rPr>
          <w:rFonts w:ascii="Times New Roman" w:hAnsi="Times New Roman" w:cs="Times New Roman"/>
          <w:sz w:val="20"/>
          <w:szCs w:val="20"/>
          <w:lang w:val="en-US"/>
        </w:rPr>
      </w:pPr>
      <w:r w:rsidRPr="00062BF4">
        <w:rPr>
          <w:rFonts w:ascii="Times New Roman" w:hAnsi="Times New Roman" w:cs="Times New Roman"/>
          <w:sz w:val="20"/>
          <w:szCs w:val="20"/>
          <w:lang w:val="en-US"/>
        </w:rPr>
        <w:br w:type="page"/>
      </w:r>
    </w:p>
    <w:p w14:paraId="723DB8CD" w14:textId="5CFE05A0" w:rsidR="004D4323" w:rsidRPr="006C60B9" w:rsidRDefault="004D4323" w:rsidP="002063D2">
      <w:pPr>
        <w:jc w:val="center"/>
        <w:rPr>
          <w:rFonts w:ascii="Times New Roman" w:hAnsi="Times New Roman" w:cs="Times New Roman"/>
          <w:b/>
          <w:sz w:val="20"/>
          <w:szCs w:val="20"/>
          <w:lang w:val="en-US"/>
        </w:rPr>
      </w:pPr>
      <w:r w:rsidRPr="006C60B9">
        <w:rPr>
          <w:rFonts w:ascii="Times New Roman" w:hAnsi="Times New Roman" w:cs="Times New Roman"/>
          <w:b/>
          <w:sz w:val="20"/>
          <w:szCs w:val="20"/>
          <w:lang w:val="en-US"/>
        </w:rPr>
        <w:lastRenderedPageBreak/>
        <w:t>Reference</w:t>
      </w:r>
      <w:r w:rsidR="00062BF4">
        <w:rPr>
          <w:rFonts w:ascii="Times New Roman" w:hAnsi="Times New Roman" w:cs="Times New Roman"/>
          <w:b/>
          <w:sz w:val="20"/>
          <w:szCs w:val="20"/>
          <w:lang w:val="en-US"/>
        </w:rPr>
        <w:t>s</w:t>
      </w:r>
    </w:p>
    <w:p w14:paraId="583D5A2F" w14:textId="77777777" w:rsidR="004D4323" w:rsidRPr="006C60B9" w:rsidRDefault="004D4323" w:rsidP="00263C50">
      <w:pPr>
        <w:rPr>
          <w:rFonts w:ascii="Times New Roman" w:hAnsi="Times New Roman" w:cs="Times New Roman"/>
          <w:b/>
          <w:sz w:val="20"/>
          <w:szCs w:val="20"/>
          <w:lang w:val="en-US"/>
        </w:rPr>
      </w:pPr>
    </w:p>
    <w:p w14:paraId="44E7873C" w14:textId="77777777" w:rsidR="004D4323" w:rsidRPr="006C60B9" w:rsidRDefault="004D4323" w:rsidP="00186583">
      <w:pPr>
        <w:rPr>
          <w:rFonts w:ascii="Times New Roman" w:hAnsi="Times New Roman" w:cs="Times New Roman"/>
          <w:sz w:val="20"/>
          <w:szCs w:val="20"/>
          <w:lang w:val="en-US"/>
        </w:rPr>
      </w:pPr>
      <w:proofErr w:type="spellStart"/>
      <w:r w:rsidRPr="006C60B9">
        <w:rPr>
          <w:rFonts w:ascii="Times New Roman" w:hAnsi="Times New Roman" w:cs="Times New Roman"/>
          <w:sz w:val="20"/>
          <w:szCs w:val="20"/>
          <w:lang w:val="en-US"/>
        </w:rPr>
        <w:t>Annabi</w:t>
      </w:r>
      <w:proofErr w:type="spellEnd"/>
      <w:r w:rsidRPr="006C60B9">
        <w:rPr>
          <w:rFonts w:ascii="Times New Roman" w:hAnsi="Times New Roman" w:cs="Times New Roman"/>
          <w:sz w:val="20"/>
          <w:szCs w:val="20"/>
          <w:lang w:val="en-US"/>
        </w:rPr>
        <w:t xml:space="preserve">, A., Gonzalez-Ramirez, J, and Muller, F. 2018. What determines financial knowledge among college students? </w:t>
      </w:r>
      <w:r w:rsidRPr="006C60B9">
        <w:rPr>
          <w:rFonts w:ascii="Times New Roman" w:hAnsi="Times New Roman" w:cs="Times New Roman"/>
          <w:i/>
          <w:sz w:val="20"/>
          <w:szCs w:val="20"/>
          <w:lang w:val="en-US"/>
        </w:rPr>
        <w:t>Journal of Financial Education</w:t>
      </w:r>
      <w:r w:rsidRPr="006C60B9">
        <w:rPr>
          <w:rFonts w:ascii="Times New Roman" w:hAnsi="Times New Roman" w:cs="Times New Roman"/>
          <w:sz w:val="20"/>
          <w:szCs w:val="20"/>
          <w:lang w:val="en-US"/>
        </w:rPr>
        <w:t>, 44 (2): 344-366.</w:t>
      </w:r>
    </w:p>
    <w:p w14:paraId="013BDEE5" w14:textId="77777777" w:rsidR="004D4323" w:rsidRPr="006C60B9" w:rsidRDefault="004D4323" w:rsidP="00186583">
      <w:pPr>
        <w:rPr>
          <w:rFonts w:ascii="Times New Roman" w:hAnsi="Times New Roman" w:cs="Times New Roman"/>
          <w:sz w:val="20"/>
          <w:szCs w:val="20"/>
          <w:lang w:val="en-US"/>
        </w:rPr>
      </w:pPr>
      <w:bookmarkStart w:id="0" w:name="Result_17"/>
      <w:r w:rsidRPr="006C60B9">
        <w:rPr>
          <w:rFonts w:ascii="Times New Roman" w:hAnsi="Times New Roman" w:cs="Times New Roman"/>
          <w:sz w:val="20"/>
          <w:szCs w:val="20"/>
          <w:lang w:val="en-US"/>
        </w:rPr>
        <w:t xml:space="preserve">Arslan, C. B. 2016. An assessment of law faculty students’ comprehension levels of the language of corporate tax law. </w:t>
      </w:r>
      <w:r w:rsidRPr="006C60B9">
        <w:rPr>
          <w:rFonts w:ascii="Times New Roman" w:hAnsi="Times New Roman" w:cs="Times New Roman"/>
          <w:i/>
          <w:sz w:val="20"/>
          <w:szCs w:val="20"/>
          <w:lang w:val="en-US"/>
        </w:rPr>
        <w:t>International Online Journal of Education and Teaching</w:t>
      </w:r>
      <w:r w:rsidRPr="006C60B9">
        <w:rPr>
          <w:rFonts w:ascii="Times New Roman" w:hAnsi="Times New Roman" w:cs="Times New Roman"/>
          <w:sz w:val="20"/>
          <w:szCs w:val="20"/>
          <w:lang w:val="en-US"/>
        </w:rPr>
        <w:t>, 3 (2):100-106</w:t>
      </w:r>
    </w:p>
    <w:bookmarkEnd w:id="0"/>
    <w:p w14:paraId="70E29F5A" w14:textId="77777777" w:rsidR="004D4323" w:rsidRPr="006C60B9" w:rsidRDefault="004D4323" w:rsidP="00186583">
      <w:pPr>
        <w:rPr>
          <w:rFonts w:ascii="Times New Roman" w:hAnsi="Times New Roman" w:cs="Times New Roman"/>
          <w:sz w:val="20"/>
          <w:szCs w:val="20"/>
          <w:lang w:val="en-US"/>
        </w:rPr>
      </w:pPr>
      <w:proofErr w:type="spellStart"/>
      <w:r w:rsidRPr="006C60B9">
        <w:rPr>
          <w:rFonts w:ascii="Times New Roman" w:hAnsi="Times New Roman" w:cs="Times New Roman"/>
          <w:sz w:val="20"/>
          <w:szCs w:val="20"/>
          <w:lang w:val="en-US"/>
        </w:rPr>
        <w:t>Altas</w:t>
      </w:r>
      <w:proofErr w:type="spellEnd"/>
      <w:r w:rsidRPr="006C60B9">
        <w:rPr>
          <w:rFonts w:ascii="Times New Roman" w:hAnsi="Times New Roman" w:cs="Times New Roman"/>
          <w:sz w:val="20"/>
          <w:szCs w:val="20"/>
          <w:lang w:val="en-US"/>
        </w:rPr>
        <w:t xml:space="preserve">, S., Lu, J., Micu, P. D., and Porto, N. 2019. Financial knowledge, confidence, credit use, and financial satisfaction. </w:t>
      </w:r>
      <w:r w:rsidRPr="006C60B9">
        <w:rPr>
          <w:rFonts w:ascii="Times New Roman" w:hAnsi="Times New Roman" w:cs="Times New Roman"/>
          <w:i/>
          <w:sz w:val="20"/>
          <w:szCs w:val="20"/>
          <w:lang w:val="en-US"/>
        </w:rPr>
        <w:t>Journal of Financial Counseling and Planning</w:t>
      </w:r>
      <w:r w:rsidRPr="006C60B9">
        <w:rPr>
          <w:rFonts w:ascii="Times New Roman" w:hAnsi="Times New Roman" w:cs="Times New Roman"/>
          <w:sz w:val="20"/>
          <w:szCs w:val="20"/>
          <w:lang w:val="en-US"/>
        </w:rPr>
        <w:t>, 30 (2), 175-190</w:t>
      </w:r>
    </w:p>
    <w:p w14:paraId="41082753" w14:textId="77777777" w:rsidR="004D4323" w:rsidRPr="006C60B9" w:rsidRDefault="004D4323" w:rsidP="00186583">
      <w:pPr>
        <w:rPr>
          <w:rStyle w:val="standard-view-style"/>
          <w:rFonts w:ascii="Times New Roman" w:hAnsi="Times New Roman" w:cs="Times New Roman"/>
          <w:sz w:val="20"/>
          <w:szCs w:val="20"/>
          <w:lang w:val="en-US"/>
        </w:rPr>
      </w:pPr>
      <w:proofErr w:type="spellStart"/>
      <w:r w:rsidRPr="006C60B9">
        <w:rPr>
          <w:rStyle w:val="standard-view-style"/>
          <w:rFonts w:ascii="Times New Roman" w:hAnsi="Times New Roman" w:cs="Times New Roman"/>
          <w:sz w:val="20"/>
          <w:szCs w:val="20"/>
          <w:lang w:val="en-US"/>
        </w:rPr>
        <w:t>Bannier</w:t>
      </w:r>
      <w:proofErr w:type="spellEnd"/>
      <w:r w:rsidRPr="006C60B9">
        <w:rPr>
          <w:rStyle w:val="standard-view-style"/>
          <w:rFonts w:ascii="Times New Roman" w:hAnsi="Times New Roman" w:cs="Times New Roman"/>
          <w:sz w:val="20"/>
          <w:szCs w:val="20"/>
          <w:lang w:val="en-US"/>
        </w:rPr>
        <w:t xml:space="preserve">, C. E., and Schwarz, M. 2018. </w:t>
      </w:r>
      <w:r w:rsidRPr="006C60B9">
        <w:rPr>
          <w:rFonts w:ascii="Times New Roman" w:hAnsi="Times New Roman" w:cs="Times New Roman"/>
          <w:sz w:val="20"/>
          <w:szCs w:val="20"/>
          <w:lang w:val="en-US"/>
        </w:rPr>
        <w:t xml:space="preserve">Gender- and education-related effects of financial literacy and confidence on financial wealth. </w:t>
      </w:r>
      <w:r w:rsidRPr="006C60B9">
        <w:rPr>
          <w:rStyle w:val="standard-view-style"/>
          <w:rFonts w:ascii="Times New Roman" w:hAnsi="Times New Roman" w:cs="Times New Roman"/>
          <w:i/>
          <w:iCs/>
          <w:sz w:val="20"/>
          <w:szCs w:val="20"/>
          <w:lang w:val="en-US"/>
        </w:rPr>
        <w:t>Journal of Economic Psychology</w:t>
      </w:r>
      <w:r w:rsidRPr="006C60B9">
        <w:rPr>
          <w:rStyle w:val="standard-view-style"/>
          <w:rFonts w:ascii="Times New Roman" w:hAnsi="Times New Roman" w:cs="Times New Roman"/>
          <w:sz w:val="20"/>
          <w:szCs w:val="20"/>
          <w:lang w:val="en-US"/>
        </w:rPr>
        <w:t>. 67: 66-86.</w:t>
      </w:r>
    </w:p>
    <w:p w14:paraId="79FCED0E" w14:textId="17312240" w:rsidR="00387E0E" w:rsidRPr="006C60B9" w:rsidRDefault="00387E0E" w:rsidP="00186583">
      <w:pPr>
        <w:rPr>
          <w:rStyle w:val="standard-view-style"/>
          <w:rFonts w:ascii="Times New Roman" w:hAnsi="Times New Roman" w:cs="Times New Roman"/>
          <w:sz w:val="20"/>
          <w:szCs w:val="20"/>
          <w:lang w:val="en-US"/>
        </w:rPr>
      </w:pPr>
      <w:proofErr w:type="spellStart"/>
      <w:r w:rsidRPr="006C60B9">
        <w:rPr>
          <w:rStyle w:val="standard-view-style"/>
          <w:rFonts w:ascii="Times New Roman" w:hAnsi="Times New Roman" w:cs="Times New Roman"/>
          <w:sz w:val="20"/>
          <w:szCs w:val="20"/>
          <w:lang w:val="en-US"/>
        </w:rPr>
        <w:t>Blanthrone</w:t>
      </w:r>
      <w:proofErr w:type="spellEnd"/>
      <w:r w:rsidRPr="006C60B9">
        <w:rPr>
          <w:rStyle w:val="standard-view-style"/>
          <w:rFonts w:ascii="Times New Roman" w:hAnsi="Times New Roman" w:cs="Times New Roman"/>
          <w:sz w:val="20"/>
          <w:szCs w:val="20"/>
          <w:lang w:val="en-US"/>
        </w:rPr>
        <w:t xml:space="preserve">, C. and Westin, S. 2016. VITA: a comprehensive review of the literature and an analysis of the program in accounting education in the U.S. </w:t>
      </w:r>
      <w:r w:rsidRPr="006C60B9">
        <w:rPr>
          <w:rStyle w:val="standard-view-style"/>
          <w:rFonts w:ascii="Times New Roman" w:hAnsi="Times New Roman" w:cs="Times New Roman"/>
          <w:i/>
          <w:sz w:val="20"/>
          <w:szCs w:val="20"/>
          <w:lang w:val="en-US"/>
        </w:rPr>
        <w:t>Issues in Accounting Education</w:t>
      </w:r>
      <w:r w:rsidRPr="006C60B9">
        <w:rPr>
          <w:rStyle w:val="standard-view-style"/>
          <w:rFonts w:ascii="Times New Roman" w:hAnsi="Times New Roman" w:cs="Times New Roman"/>
          <w:sz w:val="20"/>
          <w:szCs w:val="20"/>
          <w:lang w:val="en-US"/>
        </w:rPr>
        <w:t>. 31 (1): 51-69.</w:t>
      </w:r>
    </w:p>
    <w:p w14:paraId="5DC0C5FB" w14:textId="6D448DB3" w:rsidR="008C4B4C" w:rsidRPr="006C60B9" w:rsidRDefault="008C4B4C" w:rsidP="00186583">
      <w:pPr>
        <w:rPr>
          <w:rStyle w:val="standard-view-style"/>
          <w:rFonts w:ascii="Times New Roman" w:hAnsi="Times New Roman" w:cs="Times New Roman"/>
          <w:sz w:val="20"/>
          <w:szCs w:val="20"/>
          <w:lang w:val="en-US"/>
        </w:rPr>
      </w:pPr>
      <w:r w:rsidRPr="006C60B9">
        <w:rPr>
          <w:rStyle w:val="standard-view-style"/>
          <w:rFonts w:ascii="Times New Roman" w:hAnsi="Times New Roman" w:cs="Times New Roman"/>
          <w:sz w:val="20"/>
          <w:szCs w:val="20"/>
          <w:lang w:val="en-US"/>
        </w:rPr>
        <w:t>Boneck, R., Barnes, J, Stillman, T. F. 2014. VITA Experiential, Service-Learning, Learned Competencies, and Changed Mindsets. Journal of College Teaching &amp; Learning, 11 (2): 1-84.</w:t>
      </w:r>
    </w:p>
    <w:p w14:paraId="70D96242" w14:textId="53BEE76B" w:rsidR="004D4323" w:rsidRPr="006C60B9" w:rsidRDefault="004D4323" w:rsidP="00186583">
      <w:pPr>
        <w:rPr>
          <w:rFonts w:ascii="Times New Roman" w:hAnsi="Times New Roman" w:cs="Times New Roman"/>
          <w:sz w:val="20"/>
          <w:szCs w:val="20"/>
          <w:lang w:val="en-US"/>
        </w:rPr>
      </w:pPr>
      <w:r w:rsidRPr="006C60B9">
        <w:rPr>
          <w:rFonts w:ascii="Times New Roman" w:hAnsi="Times New Roman" w:cs="Times New Roman"/>
          <w:sz w:val="20"/>
          <w:szCs w:val="20"/>
          <w:lang w:val="en-US"/>
        </w:rPr>
        <w:t xml:space="preserve">Bhushan, p. and Medbury, Y. 2013 An empirical study of financial and tax literacy of salaried individuals. </w:t>
      </w:r>
      <w:r w:rsidRPr="006C60B9">
        <w:rPr>
          <w:rFonts w:ascii="Times New Roman" w:hAnsi="Times New Roman" w:cs="Times New Roman"/>
          <w:i/>
          <w:sz w:val="20"/>
          <w:szCs w:val="20"/>
          <w:lang w:val="en-US"/>
        </w:rPr>
        <w:t>IOSR Journal of Business and Management,</w:t>
      </w:r>
      <w:r w:rsidRPr="006C60B9">
        <w:rPr>
          <w:rFonts w:ascii="Times New Roman" w:hAnsi="Times New Roman" w:cs="Times New Roman"/>
          <w:sz w:val="20"/>
          <w:szCs w:val="20"/>
          <w:lang w:val="en-US"/>
        </w:rPr>
        <w:t xml:space="preserve"> 10 (6): 76-80.</w:t>
      </w:r>
    </w:p>
    <w:p w14:paraId="5E9B6646" w14:textId="77777777" w:rsidR="004D4323" w:rsidRPr="006C60B9" w:rsidRDefault="004D4323" w:rsidP="00186583">
      <w:pPr>
        <w:rPr>
          <w:rFonts w:ascii="Times New Roman" w:hAnsi="Times New Roman" w:cs="Times New Roman"/>
          <w:sz w:val="20"/>
          <w:szCs w:val="20"/>
          <w:lang w:val="en-US"/>
        </w:rPr>
      </w:pPr>
      <w:proofErr w:type="spellStart"/>
      <w:r w:rsidRPr="006C60B9">
        <w:rPr>
          <w:rFonts w:ascii="Times New Roman" w:hAnsi="Times New Roman" w:cs="Times New Roman"/>
          <w:sz w:val="20"/>
          <w:szCs w:val="20"/>
          <w:lang w:val="en-US"/>
        </w:rPr>
        <w:t>Cechovsky</w:t>
      </w:r>
      <w:proofErr w:type="spellEnd"/>
      <w:r w:rsidRPr="006C60B9">
        <w:rPr>
          <w:rFonts w:ascii="Times New Roman" w:hAnsi="Times New Roman" w:cs="Times New Roman"/>
          <w:sz w:val="20"/>
          <w:szCs w:val="20"/>
          <w:lang w:val="en-US"/>
        </w:rPr>
        <w:t>, N. 2018. The importance of tax knowledge for tax compliance: A study on the tax literacy of vocational business students. Trends in vocational education and training research. Proceedings of the European conference on educational research, vocational education and training network. Bern, CH.</w:t>
      </w:r>
    </w:p>
    <w:p w14:paraId="0AAF85A4" w14:textId="77777777" w:rsidR="004D4323" w:rsidRPr="006C60B9" w:rsidRDefault="004D4323" w:rsidP="00186583">
      <w:pPr>
        <w:rPr>
          <w:rFonts w:ascii="Times New Roman" w:hAnsi="Times New Roman" w:cs="Times New Roman"/>
          <w:sz w:val="20"/>
          <w:szCs w:val="20"/>
          <w:lang w:val="en-US"/>
        </w:rPr>
      </w:pPr>
      <w:r w:rsidRPr="006C60B9">
        <w:rPr>
          <w:rStyle w:val="standard-view-style"/>
          <w:rFonts w:ascii="Times New Roman" w:hAnsi="Times New Roman" w:cs="Times New Roman"/>
          <w:sz w:val="20"/>
          <w:szCs w:val="20"/>
          <w:lang w:val="en-US"/>
        </w:rPr>
        <w:t>Chardon</w:t>
      </w:r>
      <w:r w:rsidRPr="006C60B9">
        <w:rPr>
          <w:rFonts w:ascii="Times New Roman" w:hAnsi="Times New Roman" w:cs="Times New Roman"/>
          <w:sz w:val="20"/>
          <w:szCs w:val="20"/>
          <w:lang w:val="en-US"/>
        </w:rPr>
        <w:t xml:space="preserve">, T. 2007. </w:t>
      </w:r>
      <w:r w:rsidRPr="006C60B9">
        <w:rPr>
          <w:rStyle w:val="Strong"/>
          <w:rFonts w:ascii="Times New Roman" w:hAnsi="Times New Roman" w:cs="Times New Roman"/>
          <w:b w:val="0"/>
          <w:sz w:val="20"/>
          <w:szCs w:val="20"/>
          <w:lang w:val="en-US"/>
        </w:rPr>
        <w:t>Overcoming</w:t>
      </w:r>
      <w:r w:rsidRPr="006C60B9">
        <w:rPr>
          <w:rFonts w:ascii="Times New Roman" w:hAnsi="Times New Roman" w:cs="Times New Roman"/>
          <w:sz w:val="20"/>
          <w:szCs w:val="20"/>
          <w:lang w:val="en-US"/>
        </w:rPr>
        <w:t xml:space="preserve"> </w:t>
      </w:r>
      <w:r w:rsidRPr="006C60B9">
        <w:rPr>
          <w:rStyle w:val="Strong"/>
          <w:rFonts w:ascii="Times New Roman" w:hAnsi="Times New Roman" w:cs="Times New Roman"/>
          <w:b w:val="0"/>
          <w:sz w:val="20"/>
          <w:szCs w:val="20"/>
          <w:lang w:val="en-US"/>
        </w:rPr>
        <w:t>tax</w:t>
      </w:r>
      <w:r w:rsidRPr="006C60B9">
        <w:rPr>
          <w:rFonts w:ascii="Times New Roman" w:hAnsi="Times New Roman" w:cs="Times New Roman"/>
          <w:sz w:val="20"/>
          <w:szCs w:val="20"/>
          <w:lang w:val="en-US"/>
        </w:rPr>
        <w:t xml:space="preserve"> </w:t>
      </w:r>
      <w:r w:rsidRPr="006C60B9">
        <w:rPr>
          <w:rStyle w:val="Strong"/>
          <w:rFonts w:ascii="Times New Roman" w:hAnsi="Times New Roman" w:cs="Times New Roman"/>
          <w:b w:val="0"/>
          <w:sz w:val="20"/>
          <w:szCs w:val="20"/>
          <w:lang w:val="en-US"/>
        </w:rPr>
        <w:t>complexity</w:t>
      </w:r>
      <w:r w:rsidRPr="006C60B9">
        <w:rPr>
          <w:rFonts w:ascii="Times New Roman" w:hAnsi="Times New Roman" w:cs="Times New Roman"/>
          <w:sz w:val="20"/>
          <w:szCs w:val="20"/>
          <w:lang w:val="en-US"/>
        </w:rPr>
        <w:t xml:space="preserve"> </w:t>
      </w:r>
      <w:r w:rsidRPr="006C60B9">
        <w:rPr>
          <w:rStyle w:val="Strong"/>
          <w:rFonts w:ascii="Times New Roman" w:hAnsi="Times New Roman" w:cs="Times New Roman"/>
          <w:b w:val="0"/>
          <w:sz w:val="20"/>
          <w:szCs w:val="20"/>
          <w:lang w:val="en-US"/>
        </w:rPr>
        <w:t>through</w:t>
      </w:r>
      <w:r w:rsidRPr="006C60B9">
        <w:rPr>
          <w:rFonts w:ascii="Times New Roman" w:hAnsi="Times New Roman" w:cs="Times New Roman"/>
          <w:sz w:val="20"/>
          <w:szCs w:val="20"/>
          <w:lang w:val="en-US"/>
        </w:rPr>
        <w:t xml:space="preserve"> </w:t>
      </w:r>
      <w:r w:rsidRPr="006C60B9">
        <w:rPr>
          <w:rStyle w:val="Strong"/>
          <w:rFonts w:ascii="Times New Roman" w:hAnsi="Times New Roman" w:cs="Times New Roman"/>
          <w:b w:val="0"/>
          <w:sz w:val="20"/>
          <w:szCs w:val="20"/>
          <w:lang w:val="en-US"/>
        </w:rPr>
        <w:t>tax</w:t>
      </w:r>
      <w:r w:rsidRPr="006C60B9">
        <w:rPr>
          <w:rFonts w:ascii="Times New Roman" w:hAnsi="Times New Roman" w:cs="Times New Roman"/>
          <w:sz w:val="20"/>
          <w:szCs w:val="20"/>
          <w:lang w:val="en-US"/>
        </w:rPr>
        <w:t xml:space="preserve"> </w:t>
      </w:r>
      <w:r w:rsidRPr="006C60B9">
        <w:rPr>
          <w:rStyle w:val="Strong"/>
          <w:rFonts w:ascii="Times New Roman" w:hAnsi="Times New Roman" w:cs="Times New Roman"/>
          <w:b w:val="0"/>
          <w:sz w:val="20"/>
          <w:szCs w:val="20"/>
          <w:lang w:val="en-US"/>
        </w:rPr>
        <w:t>literacy</w:t>
      </w:r>
      <w:r w:rsidRPr="006C60B9">
        <w:rPr>
          <w:rFonts w:ascii="Times New Roman" w:hAnsi="Times New Roman" w:cs="Times New Roman"/>
          <w:b/>
          <w:sz w:val="20"/>
          <w:szCs w:val="20"/>
          <w:lang w:val="en-US"/>
        </w:rPr>
        <w:t xml:space="preserve"> </w:t>
      </w:r>
      <w:r w:rsidRPr="006C60B9">
        <w:rPr>
          <w:rFonts w:ascii="Times New Roman" w:hAnsi="Times New Roman" w:cs="Times New Roman"/>
          <w:sz w:val="20"/>
          <w:szCs w:val="20"/>
          <w:lang w:val="en-US"/>
        </w:rPr>
        <w:t>– an</w:t>
      </w:r>
      <w:r w:rsidRPr="006C60B9">
        <w:rPr>
          <w:rFonts w:ascii="Times New Roman" w:hAnsi="Times New Roman" w:cs="Times New Roman"/>
          <w:b/>
          <w:sz w:val="20"/>
          <w:szCs w:val="20"/>
          <w:lang w:val="en-US"/>
        </w:rPr>
        <w:t xml:space="preserve"> </w:t>
      </w:r>
      <w:r w:rsidRPr="006C60B9">
        <w:rPr>
          <w:rStyle w:val="Strong"/>
          <w:rFonts w:ascii="Times New Roman" w:hAnsi="Times New Roman" w:cs="Times New Roman"/>
          <w:b w:val="0"/>
          <w:sz w:val="20"/>
          <w:szCs w:val="20"/>
          <w:lang w:val="en-US"/>
        </w:rPr>
        <w:t>analysis</w:t>
      </w:r>
      <w:r w:rsidRPr="006C60B9">
        <w:rPr>
          <w:rFonts w:ascii="Times New Roman" w:hAnsi="Times New Roman" w:cs="Times New Roman"/>
          <w:b/>
          <w:sz w:val="20"/>
          <w:szCs w:val="20"/>
          <w:lang w:val="en-US"/>
        </w:rPr>
        <w:t xml:space="preserve"> </w:t>
      </w:r>
      <w:r w:rsidRPr="006C60B9">
        <w:rPr>
          <w:rFonts w:ascii="Times New Roman" w:hAnsi="Times New Roman" w:cs="Times New Roman"/>
          <w:sz w:val="20"/>
          <w:szCs w:val="20"/>
          <w:lang w:val="en-US"/>
        </w:rPr>
        <w:t xml:space="preserve">of </w:t>
      </w:r>
      <w:r w:rsidRPr="006C60B9">
        <w:rPr>
          <w:rStyle w:val="Strong"/>
          <w:rFonts w:ascii="Times New Roman" w:hAnsi="Times New Roman" w:cs="Times New Roman"/>
          <w:b w:val="0"/>
          <w:sz w:val="20"/>
          <w:szCs w:val="20"/>
          <w:lang w:val="en-US"/>
        </w:rPr>
        <w:t>financial</w:t>
      </w:r>
      <w:r w:rsidRPr="006C60B9">
        <w:rPr>
          <w:rFonts w:ascii="Times New Roman" w:hAnsi="Times New Roman" w:cs="Times New Roman"/>
          <w:b/>
          <w:sz w:val="20"/>
          <w:szCs w:val="20"/>
          <w:lang w:val="en-US"/>
        </w:rPr>
        <w:t xml:space="preserve"> </w:t>
      </w:r>
      <w:r w:rsidRPr="006C60B9">
        <w:rPr>
          <w:rFonts w:ascii="Times New Roman" w:hAnsi="Times New Roman" w:cs="Times New Roman"/>
          <w:sz w:val="20"/>
          <w:szCs w:val="20"/>
          <w:lang w:val="en-US"/>
        </w:rPr>
        <w:t>literary</w:t>
      </w:r>
      <w:r w:rsidRPr="006C60B9">
        <w:rPr>
          <w:rFonts w:ascii="Times New Roman" w:hAnsi="Times New Roman" w:cs="Times New Roman"/>
          <w:b/>
          <w:sz w:val="20"/>
          <w:szCs w:val="20"/>
          <w:lang w:val="en-US"/>
        </w:rPr>
        <w:t xml:space="preserve"> </w:t>
      </w:r>
      <w:r w:rsidRPr="006C60B9">
        <w:rPr>
          <w:rStyle w:val="Strong"/>
          <w:rFonts w:ascii="Times New Roman" w:hAnsi="Times New Roman" w:cs="Times New Roman"/>
          <w:b w:val="0"/>
          <w:sz w:val="20"/>
          <w:szCs w:val="20"/>
          <w:lang w:val="en-US"/>
        </w:rPr>
        <w:t>research</w:t>
      </w:r>
      <w:r w:rsidRPr="006C60B9">
        <w:rPr>
          <w:rFonts w:ascii="Times New Roman" w:hAnsi="Times New Roman" w:cs="Times New Roman"/>
          <w:b/>
          <w:sz w:val="20"/>
          <w:szCs w:val="20"/>
          <w:lang w:val="en-US"/>
        </w:rPr>
        <w:t xml:space="preserve"> </w:t>
      </w:r>
      <w:r w:rsidRPr="006C60B9">
        <w:rPr>
          <w:rFonts w:ascii="Times New Roman" w:hAnsi="Times New Roman" w:cs="Times New Roman"/>
          <w:sz w:val="20"/>
          <w:szCs w:val="20"/>
          <w:lang w:val="en-US"/>
        </w:rPr>
        <w:t>in the</w:t>
      </w:r>
      <w:r w:rsidRPr="006C60B9">
        <w:rPr>
          <w:rFonts w:ascii="Times New Roman" w:hAnsi="Times New Roman" w:cs="Times New Roman"/>
          <w:b/>
          <w:sz w:val="20"/>
          <w:szCs w:val="20"/>
          <w:lang w:val="en-US"/>
        </w:rPr>
        <w:t xml:space="preserve"> </w:t>
      </w:r>
      <w:r w:rsidRPr="006C60B9">
        <w:rPr>
          <w:rStyle w:val="Strong"/>
          <w:rFonts w:ascii="Times New Roman" w:hAnsi="Times New Roman" w:cs="Times New Roman"/>
          <w:b w:val="0"/>
          <w:sz w:val="20"/>
          <w:szCs w:val="20"/>
          <w:lang w:val="en-US"/>
        </w:rPr>
        <w:t>context</w:t>
      </w:r>
      <w:r w:rsidRPr="006C60B9">
        <w:rPr>
          <w:rFonts w:ascii="Times New Roman" w:hAnsi="Times New Roman" w:cs="Times New Roman"/>
          <w:b/>
          <w:sz w:val="20"/>
          <w:szCs w:val="20"/>
          <w:lang w:val="en-US"/>
        </w:rPr>
        <w:t xml:space="preserve"> </w:t>
      </w:r>
      <w:r w:rsidRPr="006C60B9">
        <w:rPr>
          <w:rFonts w:ascii="Times New Roman" w:hAnsi="Times New Roman" w:cs="Times New Roman"/>
          <w:sz w:val="20"/>
          <w:szCs w:val="20"/>
          <w:lang w:val="en-US"/>
        </w:rPr>
        <w:t>of the</w:t>
      </w:r>
      <w:r w:rsidRPr="006C60B9">
        <w:rPr>
          <w:rFonts w:ascii="Times New Roman" w:hAnsi="Times New Roman" w:cs="Times New Roman"/>
          <w:b/>
          <w:sz w:val="20"/>
          <w:szCs w:val="20"/>
          <w:lang w:val="en-US"/>
        </w:rPr>
        <w:t xml:space="preserve"> </w:t>
      </w:r>
      <w:r w:rsidRPr="006C60B9">
        <w:rPr>
          <w:rStyle w:val="Strong"/>
          <w:rFonts w:ascii="Times New Roman" w:hAnsi="Times New Roman" w:cs="Times New Roman"/>
          <w:b w:val="0"/>
          <w:sz w:val="20"/>
          <w:szCs w:val="20"/>
          <w:lang w:val="en-US"/>
        </w:rPr>
        <w:t>taxation</w:t>
      </w:r>
      <w:r w:rsidRPr="006C60B9">
        <w:rPr>
          <w:rFonts w:ascii="Times New Roman" w:hAnsi="Times New Roman" w:cs="Times New Roman"/>
          <w:sz w:val="20"/>
          <w:szCs w:val="20"/>
          <w:lang w:val="en-US"/>
        </w:rPr>
        <w:t xml:space="preserve"> </w:t>
      </w:r>
      <w:r w:rsidRPr="006C60B9">
        <w:rPr>
          <w:rStyle w:val="Strong"/>
          <w:rFonts w:ascii="Times New Roman" w:hAnsi="Times New Roman" w:cs="Times New Roman"/>
          <w:b w:val="0"/>
          <w:sz w:val="20"/>
          <w:szCs w:val="20"/>
          <w:lang w:val="en-US"/>
        </w:rPr>
        <w:t>system</w:t>
      </w:r>
      <w:r w:rsidRPr="006C60B9">
        <w:rPr>
          <w:rFonts w:ascii="Times New Roman" w:hAnsi="Times New Roman" w:cs="Times New Roman"/>
          <w:sz w:val="20"/>
          <w:szCs w:val="20"/>
          <w:lang w:val="en-US"/>
        </w:rPr>
        <w:t>.</w:t>
      </w:r>
      <w:r w:rsidRPr="006C60B9">
        <w:rPr>
          <w:rFonts w:ascii="Times New Roman" w:hAnsi="Times New Roman" w:cs="Times New Roman"/>
          <w:b/>
          <w:sz w:val="20"/>
          <w:szCs w:val="20"/>
          <w:lang w:val="en-US"/>
        </w:rPr>
        <w:t xml:space="preserve"> </w:t>
      </w:r>
      <w:r w:rsidRPr="006C60B9">
        <w:rPr>
          <w:rFonts w:ascii="Times New Roman" w:hAnsi="Times New Roman" w:cs="Times New Roman"/>
          <w:sz w:val="20"/>
          <w:szCs w:val="20"/>
          <w:lang w:val="en-US"/>
        </w:rPr>
        <w:t>Australasian</w:t>
      </w:r>
      <w:r w:rsidRPr="006C60B9">
        <w:rPr>
          <w:rFonts w:ascii="Times New Roman" w:hAnsi="Times New Roman" w:cs="Times New Roman"/>
          <w:b/>
          <w:sz w:val="20"/>
          <w:szCs w:val="20"/>
          <w:lang w:val="en-US"/>
        </w:rPr>
        <w:t xml:space="preserve"> </w:t>
      </w:r>
      <w:r w:rsidRPr="006C60B9">
        <w:rPr>
          <w:rStyle w:val="Strong"/>
          <w:rFonts w:ascii="Times New Roman" w:hAnsi="Times New Roman" w:cs="Times New Roman"/>
          <w:b w:val="0"/>
          <w:sz w:val="20"/>
          <w:szCs w:val="20"/>
          <w:lang w:val="en-US"/>
        </w:rPr>
        <w:t>Taxation</w:t>
      </w:r>
      <w:r w:rsidRPr="006C60B9">
        <w:rPr>
          <w:rFonts w:ascii="Times New Roman" w:hAnsi="Times New Roman" w:cs="Times New Roman"/>
          <w:b/>
          <w:sz w:val="20"/>
          <w:szCs w:val="20"/>
          <w:lang w:val="en-US"/>
        </w:rPr>
        <w:t xml:space="preserve"> </w:t>
      </w:r>
      <w:r w:rsidRPr="006C60B9">
        <w:rPr>
          <w:rFonts w:ascii="Times New Roman" w:hAnsi="Times New Roman" w:cs="Times New Roman"/>
          <w:sz w:val="20"/>
          <w:szCs w:val="20"/>
          <w:lang w:val="en-US"/>
        </w:rPr>
        <w:t>Teachers Association Conference, 22-24 Jan 2007, Brisbane, Australia.</w:t>
      </w:r>
    </w:p>
    <w:p w14:paraId="0AA6A1E0" w14:textId="75637317" w:rsidR="004D4323" w:rsidRPr="006C60B9" w:rsidRDefault="004D4323" w:rsidP="00186583">
      <w:pPr>
        <w:rPr>
          <w:rStyle w:val="standard-view-style"/>
          <w:rFonts w:ascii="Times New Roman" w:hAnsi="Times New Roman" w:cs="Times New Roman"/>
          <w:sz w:val="20"/>
          <w:szCs w:val="20"/>
          <w:lang w:val="en-US"/>
        </w:rPr>
      </w:pPr>
      <w:r w:rsidRPr="006C60B9">
        <w:rPr>
          <w:rStyle w:val="standard-view-style"/>
          <w:rFonts w:ascii="Times New Roman" w:hAnsi="Times New Roman" w:cs="Times New Roman"/>
          <w:sz w:val="20"/>
          <w:szCs w:val="20"/>
          <w:lang w:val="en-US"/>
        </w:rPr>
        <w:t xml:space="preserve">Chardon, T., Freudenberg, B., Brimble, M. 2016. </w:t>
      </w:r>
      <w:r w:rsidRPr="006C60B9">
        <w:rPr>
          <w:rFonts w:ascii="Times New Roman" w:hAnsi="Times New Roman" w:cs="Times New Roman"/>
          <w:sz w:val="20"/>
          <w:szCs w:val="20"/>
          <w:lang w:val="en-US"/>
        </w:rPr>
        <w:t>Tax literacy in Australia: not knowing your deduction from your offset.</w:t>
      </w:r>
      <w:r w:rsidRPr="006C60B9">
        <w:rPr>
          <w:rStyle w:val="standard-view-style"/>
          <w:rFonts w:ascii="Times New Roman" w:hAnsi="Times New Roman" w:cs="Times New Roman"/>
          <w:sz w:val="20"/>
          <w:szCs w:val="20"/>
          <w:lang w:val="en-US"/>
        </w:rPr>
        <w:t xml:space="preserve"> </w:t>
      </w:r>
      <w:r w:rsidRPr="006C60B9">
        <w:rPr>
          <w:rStyle w:val="standard-view-style"/>
          <w:rFonts w:ascii="Times New Roman" w:hAnsi="Times New Roman" w:cs="Times New Roman"/>
          <w:i/>
          <w:sz w:val="20"/>
          <w:szCs w:val="20"/>
          <w:lang w:val="en-US"/>
        </w:rPr>
        <w:t xml:space="preserve">Australian </w:t>
      </w:r>
      <w:r w:rsidRPr="006C60B9">
        <w:rPr>
          <w:rStyle w:val="Strong"/>
          <w:rFonts w:ascii="Times New Roman" w:hAnsi="Times New Roman" w:cs="Times New Roman"/>
          <w:b w:val="0"/>
          <w:i/>
          <w:sz w:val="20"/>
          <w:szCs w:val="20"/>
          <w:lang w:val="en-US"/>
        </w:rPr>
        <w:t>Tax</w:t>
      </w:r>
      <w:r w:rsidRPr="006C60B9">
        <w:rPr>
          <w:rStyle w:val="standard-view-style"/>
          <w:rFonts w:ascii="Times New Roman" w:hAnsi="Times New Roman" w:cs="Times New Roman"/>
          <w:i/>
          <w:sz w:val="20"/>
          <w:szCs w:val="20"/>
          <w:lang w:val="en-US"/>
        </w:rPr>
        <w:t xml:space="preserve"> Forum</w:t>
      </w:r>
      <w:r w:rsidRPr="006C60B9">
        <w:rPr>
          <w:rStyle w:val="standard-view-style"/>
          <w:rFonts w:ascii="Times New Roman" w:hAnsi="Times New Roman" w:cs="Times New Roman"/>
          <w:sz w:val="20"/>
          <w:szCs w:val="20"/>
          <w:lang w:val="en-US"/>
        </w:rPr>
        <w:t>, 31 (2): 321-362.</w:t>
      </w:r>
    </w:p>
    <w:p w14:paraId="03432D59" w14:textId="3E9522E8" w:rsidR="00023B0B" w:rsidRPr="006C60B9" w:rsidRDefault="00023B0B" w:rsidP="00186583">
      <w:pPr>
        <w:rPr>
          <w:rFonts w:ascii="Times New Roman" w:hAnsi="Times New Roman" w:cs="Times New Roman"/>
          <w:sz w:val="20"/>
          <w:szCs w:val="20"/>
          <w:lang w:val="en-US"/>
        </w:rPr>
      </w:pPr>
      <w:r w:rsidRPr="006C60B9">
        <w:rPr>
          <w:rStyle w:val="standard-view-style"/>
          <w:rFonts w:ascii="Times New Roman" w:hAnsi="Times New Roman" w:cs="Times New Roman"/>
          <w:sz w:val="20"/>
          <w:szCs w:val="20"/>
          <w:lang w:val="en-US"/>
        </w:rPr>
        <w:t xml:space="preserve">Chardon, T., Lee, C., De Zwaan, L. Liu, Y. 2016. University students and tax literacy: opportunities and lessons for tax teaching. </w:t>
      </w:r>
      <w:r w:rsidRPr="006C60B9">
        <w:rPr>
          <w:rStyle w:val="standard-view-style"/>
          <w:rFonts w:ascii="Times New Roman" w:hAnsi="Times New Roman" w:cs="Times New Roman"/>
          <w:i/>
          <w:sz w:val="20"/>
          <w:szCs w:val="20"/>
          <w:lang w:val="en-US"/>
        </w:rPr>
        <w:t>Journal of Australasian Tax Teachers Association</w:t>
      </w:r>
      <w:r w:rsidRPr="006C60B9">
        <w:rPr>
          <w:rStyle w:val="standard-view-style"/>
          <w:rFonts w:ascii="Times New Roman" w:hAnsi="Times New Roman" w:cs="Times New Roman"/>
          <w:sz w:val="20"/>
          <w:szCs w:val="20"/>
          <w:lang w:val="en-US"/>
        </w:rPr>
        <w:t>, 11: 85-102.</w:t>
      </w:r>
    </w:p>
    <w:p w14:paraId="359CB1D1" w14:textId="77777777" w:rsidR="004D4323" w:rsidRPr="006C60B9" w:rsidRDefault="004D4323" w:rsidP="00186583">
      <w:pPr>
        <w:rPr>
          <w:rFonts w:ascii="Times New Roman" w:hAnsi="Times New Roman" w:cs="Times New Roman"/>
          <w:sz w:val="20"/>
          <w:szCs w:val="20"/>
          <w:lang w:val="en-US"/>
        </w:rPr>
      </w:pPr>
      <w:r w:rsidRPr="006C60B9">
        <w:rPr>
          <w:rFonts w:ascii="Times New Roman" w:hAnsi="Times New Roman" w:cs="Times New Roman"/>
          <w:sz w:val="20"/>
          <w:szCs w:val="20"/>
          <w:lang w:val="en-US"/>
        </w:rPr>
        <w:t xml:space="preserve">Chen, H. and Volpe, R. P. 1998. An analysis of personal financial literacy among college students. </w:t>
      </w:r>
      <w:r w:rsidRPr="006C60B9">
        <w:rPr>
          <w:rFonts w:ascii="Times New Roman" w:hAnsi="Times New Roman" w:cs="Times New Roman"/>
          <w:i/>
          <w:sz w:val="20"/>
          <w:szCs w:val="20"/>
          <w:lang w:val="en-US"/>
        </w:rPr>
        <w:t>Financial Services Review</w:t>
      </w:r>
      <w:r w:rsidRPr="006C60B9">
        <w:rPr>
          <w:rFonts w:ascii="Times New Roman" w:hAnsi="Times New Roman" w:cs="Times New Roman"/>
          <w:sz w:val="20"/>
          <w:szCs w:val="20"/>
          <w:lang w:val="en-US"/>
        </w:rPr>
        <w:t>, 7 (2): 17-128.</w:t>
      </w:r>
    </w:p>
    <w:p w14:paraId="47C0CE7E" w14:textId="662F22DD" w:rsidR="00A20C61" w:rsidRPr="006C60B9" w:rsidRDefault="00A20C61" w:rsidP="00186583">
      <w:pPr>
        <w:rPr>
          <w:rFonts w:ascii="Times New Roman" w:hAnsi="Times New Roman" w:cs="Times New Roman"/>
          <w:sz w:val="20"/>
          <w:szCs w:val="20"/>
          <w:lang w:val="en-US"/>
        </w:rPr>
      </w:pPr>
      <w:bookmarkStart w:id="1" w:name="Result_1"/>
      <w:r w:rsidRPr="006C60B9">
        <w:rPr>
          <w:rFonts w:ascii="Times New Roman" w:hAnsi="Times New Roman" w:cs="Times New Roman"/>
          <w:sz w:val="20"/>
          <w:szCs w:val="20"/>
          <w:lang w:val="en-US"/>
        </w:rPr>
        <w:t xml:space="preserve">Council for Economic Education. 2022. Survey of the states. Available at: </w:t>
      </w:r>
      <w:hyperlink r:id="rId8" w:history="1">
        <w:r w:rsidRPr="006C60B9">
          <w:rPr>
            <w:rStyle w:val="Hyperlink"/>
            <w:rFonts w:ascii="Times New Roman" w:hAnsi="Times New Roman" w:cs="Times New Roman"/>
            <w:sz w:val="20"/>
            <w:szCs w:val="20"/>
            <w:lang w:val="en-US"/>
          </w:rPr>
          <w:t>https://www.councilforeconed.org/wp-content/uploads/2022/03/2022-SURVEY-OF-THE-STATES.pdf</w:t>
        </w:r>
      </w:hyperlink>
      <w:r w:rsidRPr="006C60B9">
        <w:rPr>
          <w:rFonts w:ascii="Times New Roman" w:hAnsi="Times New Roman" w:cs="Times New Roman"/>
          <w:sz w:val="20"/>
          <w:szCs w:val="20"/>
          <w:lang w:val="en-US"/>
        </w:rPr>
        <w:t>. Accessed on February 26, 2023.</w:t>
      </w:r>
    </w:p>
    <w:p w14:paraId="575E758B" w14:textId="7DEEA870" w:rsidR="004D4323" w:rsidRPr="006C60B9" w:rsidRDefault="004D4323" w:rsidP="00186583">
      <w:pPr>
        <w:rPr>
          <w:rFonts w:ascii="Times New Roman" w:hAnsi="Times New Roman" w:cs="Times New Roman"/>
          <w:sz w:val="20"/>
          <w:szCs w:val="20"/>
          <w:lang w:val="en-US"/>
        </w:rPr>
      </w:pPr>
      <w:r w:rsidRPr="006C60B9">
        <w:rPr>
          <w:rFonts w:ascii="Times New Roman" w:hAnsi="Times New Roman" w:cs="Times New Roman"/>
          <w:sz w:val="20"/>
          <w:szCs w:val="20"/>
          <w:lang w:val="en-US"/>
        </w:rPr>
        <w:t xml:space="preserve">De Bassa </w:t>
      </w:r>
      <w:proofErr w:type="spellStart"/>
      <w:r w:rsidRPr="006C60B9">
        <w:rPr>
          <w:rFonts w:ascii="Times New Roman" w:hAnsi="Times New Roman" w:cs="Times New Roman"/>
          <w:sz w:val="20"/>
          <w:szCs w:val="20"/>
          <w:lang w:val="en-US"/>
        </w:rPr>
        <w:t>Scheresberg</w:t>
      </w:r>
      <w:proofErr w:type="spellEnd"/>
      <w:r w:rsidRPr="006C60B9">
        <w:rPr>
          <w:rFonts w:ascii="Times New Roman" w:hAnsi="Times New Roman" w:cs="Times New Roman"/>
          <w:sz w:val="20"/>
          <w:szCs w:val="20"/>
          <w:lang w:val="en-US"/>
        </w:rPr>
        <w:t>, C. 2013. Financial Literacy and Financial Behavior among Young Adults: Evidence and Implications</w:t>
      </w:r>
      <w:bookmarkEnd w:id="1"/>
      <w:r w:rsidRPr="006C60B9">
        <w:rPr>
          <w:rFonts w:ascii="Times New Roman" w:hAnsi="Times New Roman" w:cs="Times New Roman"/>
          <w:sz w:val="20"/>
          <w:szCs w:val="20"/>
          <w:lang w:val="en-US"/>
        </w:rPr>
        <w:t xml:space="preserve">. </w:t>
      </w:r>
      <w:r w:rsidRPr="006C60B9">
        <w:rPr>
          <w:rStyle w:val="Emphasis"/>
          <w:rFonts w:ascii="Times New Roman" w:hAnsi="Times New Roman" w:cs="Times New Roman"/>
          <w:sz w:val="20"/>
          <w:szCs w:val="20"/>
          <w:lang w:val="en-US"/>
        </w:rPr>
        <w:t xml:space="preserve">Numeracy: Advancing Education in Quantitative </w:t>
      </w:r>
      <w:r w:rsidRPr="006C60B9">
        <w:rPr>
          <w:rStyle w:val="Strong"/>
          <w:rFonts w:ascii="Times New Roman" w:hAnsi="Times New Roman" w:cs="Times New Roman"/>
          <w:b w:val="0"/>
          <w:i/>
          <w:iCs/>
          <w:sz w:val="20"/>
          <w:szCs w:val="20"/>
          <w:lang w:val="en-US"/>
        </w:rPr>
        <w:t>Literacy</w:t>
      </w:r>
      <w:r w:rsidRPr="006C60B9">
        <w:rPr>
          <w:rFonts w:ascii="Times New Roman" w:hAnsi="Times New Roman" w:cs="Times New Roman"/>
          <w:i/>
          <w:sz w:val="20"/>
          <w:szCs w:val="20"/>
          <w:lang w:val="en-US"/>
        </w:rPr>
        <w:t>,</w:t>
      </w:r>
      <w:r w:rsidRPr="006C60B9">
        <w:rPr>
          <w:rFonts w:ascii="Times New Roman" w:hAnsi="Times New Roman" w:cs="Times New Roman"/>
          <w:sz w:val="20"/>
          <w:szCs w:val="20"/>
          <w:lang w:val="en-US"/>
        </w:rPr>
        <w:t xml:space="preserve"> 6 (2): 1-21.</w:t>
      </w:r>
    </w:p>
    <w:p w14:paraId="5DD02E6F" w14:textId="77777777" w:rsidR="004D4323" w:rsidRPr="006C60B9" w:rsidRDefault="004D4323" w:rsidP="00186583">
      <w:pPr>
        <w:rPr>
          <w:rStyle w:val="standard-view-style"/>
          <w:rFonts w:ascii="Times New Roman" w:hAnsi="Times New Roman" w:cs="Times New Roman"/>
          <w:color w:val="000000" w:themeColor="text1"/>
          <w:sz w:val="20"/>
          <w:szCs w:val="20"/>
          <w:lang w:val="en-US"/>
        </w:rPr>
      </w:pPr>
      <w:bookmarkStart w:id="2" w:name="Result_15"/>
      <w:r w:rsidRPr="006C60B9">
        <w:rPr>
          <w:rStyle w:val="standard-view-style"/>
          <w:rFonts w:ascii="Times New Roman" w:hAnsi="Times New Roman" w:cs="Times New Roman"/>
          <w:sz w:val="20"/>
          <w:szCs w:val="20"/>
          <w:lang w:val="en-US"/>
        </w:rPr>
        <w:t xml:space="preserve">Eriksen, K., Fallan, L. 1996. Tax knowledge and attitudes towards taxation; A report on a </w:t>
      </w:r>
      <w:r w:rsidRPr="006C60B9">
        <w:rPr>
          <w:rStyle w:val="standard-view-style"/>
          <w:rFonts w:ascii="Times New Roman" w:hAnsi="Times New Roman" w:cs="Times New Roman"/>
          <w:color w:val="000000" w:themeColor="text1"/>
          <w:sz w:val="20"/>
          <w:szCs w:val="20"/>
          <w:lang w:val="en-US"/>
        </w:rPr>
        <w:t>quasi-experiment</w:t>
      </w:r>
      <w:bookmarkEnd w:id="2"/>
      <w:r w:rsidRPr="006C60B9">
        <w:rPr>
          <w:rStyle w:val="standard-view-style"/>
          <w:rFonts w:ascii="Times New Roman" w:hAnsi="Times New Roman" w:cs="Times New Roman"/>
          <w:color w:val="000000" w:themeColor="text1"/>
          <w:sz w:val="20"/>
          <w:szCs w:val="20"/>
          <w:lang w:val="en-US"/>
        </w:rPr>
        <w:t xml:space="preserve">. </w:t>
      </w:r>
      <w:r w:rsidRPr="006C60B9">
        <w:rPr>
          <w:rStyle w:val="standard-view-style"/>
          <w:rFonts w:ascii="Times New Roman" w:hAnsi="Times New Roman" w:cs="Times New Roman"/>
          <w:i/>
          <w:iCs/>
          <w:color w:val="000000" w:themeColor="text1"/>
          <w:sz w:val="20"/>
          <w:szCs w:val="20"/>
          <w:lang w:val="en-US"/>
        </w:rPr>
        <w:t>Journal of Economic Psychology</w:t>
      </w:r>
      <w:r w:rsidRPr="006C60B9">
        <w:rPr>
          <w:rStyle w:val="standard-view-style"/>
          <w:rFonts w:ascii="Times New Roman" w:hAnsi="Times New Roman" w:cs="Times New Roman"/>
          <w:iCs/>
          <w:color w:val="000000" w:themeColor="text1"/>
          <w:sz w:val="20"/>
          <w:szCs w:val="20"/>
          <w:lang w:val="en-US"/>
        </w:rPr>
        <w:t>,</w:t>
      </w:r>
      <w:r w:rsidRPr="006C60B9">
        <w:rPr>
          <w:rStyle w:val="standard-view-style"/>
          <w:rFonts w:ascii="Times New Roman" w:hAnsi="Times New Roman" w:cs="Times New Roman"/>
          <w:color w:val="000000" w:themeColor="text1"/>
          <w:sz w:val="20"/>
          <w:szCs w:val="20"/>
          <w:lang w:val="en-US"/>
        </w:rPr>
        <w:t xml:space="preserve"> 17(3):387-402.</w:t>
      </w:r>
    </w:p>
    <w:p w14:paraId="16924978" w14:textId="77777777" w:rsidR="004D4323" w:rsidRPr="006C60B9" w:rsidRDefault="004D4323" w:rsidP="00186583">
      <w:pPr>
        <w:rPr>
          <w:rStyle w:val="standard-view-style"/>
          <w:rFonts w:ascii="Times New Roman" w:hAnsi="Times New Roman" w:cs="Times New Roman"/>
          <w:b/>
          <w:color w:val="000000" w:themeColor="text1"/>
          <w:sz w:val="20"/>
          <w:szCs w:val="20"/>
          <w:lang w:val="en-US"/>
        </w:rPr>
      </w:pPr>
      <w:r w:rsidRPr="006C60B9">
        <w:rPr>
          <w:rStyle w:val="standard-view-style"/>
          <w:rFonts w:ascii="Times New Roman" w:eastAsiaTheme="minorEastAsia" w:hAnsi="Times New Roman" w:cs="Times New Roman"/>
          <w:color w:val="000000" w:themeColor="text1"/>
          <w:sz w:val="20"/>
          <w:szCs w:val="20"/>
          <w:lang w:val="en-US" w:eastAsia="zh-CN"/>
        </w:rPr>
        <w:t xml:space="preserve">Feldman, N. E., </w:t>
      </w:r>
      <w:proofErr w:type="spellStart"/>
      <w:r w:rsidRPr="006C60B9">
        <w:rPr>
          <w:rStyle w:val="standard-view-style"/>
          <w:rFonts w:ascii="Times New Roman" w:eastAsiaTheme="minorEastAsia" w:hAnsi="Times New Roman" w:cs="Times New Roman"/>
          <w:color w:val="000000" w:themeColor="text1"/>
          <w:sz w:val="20"/>
          <w:szCs w:val="20"/>
          <w:lang w:val="en-US" w:eastAsia="zh-CN"/>
        </w:rPr>
        <w:t>Katuščák</w:t>
      </w:r>
      <w:proofErr w:type="spellEnd"/>
      <w:r w:rsidRPr="006C60B9">
        <w:rPr>
          <w:rStyle w:val="standard-view-style"/>
          <w:rFonts w:ascii="Times New Roman" w:eastAsiaTheme="minorEastAsia" w:hAnsi="Times New Roman" w:cs="Times New Roman"/>
          <w:color w:val="000000" w:themeColor="text1"/>
          <w:sz w:val="20"/>
          <w:szCs w:val="20"/>
          <w:lang w:val="en-US" w:eastAsia="zh-CN"/>
        </w:rPr>
        <w:t>, P., Kawano, L. 2016. Taxpayer Confusion: Evidence</w:t>
      </w:r>
      <w:r w:rsidRPr="006C60B9">
        <w:rPr>
          <w:rStyle w:val="standard-view-style"/>
          <w:rFonts w:ascii="Times New Roman" w:hAnsi="Times New Roman" w:cs="Times New Roman"/>
          <w:color w:val="000000" w:themeColor="text1"/>
          <w:sz w:val="20"/>
          <w:szCs w:val="20"/>
          <w:lang w:val="en-US" w:eastAsia="zh-CN"/>
        </w:rPr>
        <w:t xml:space="preserve"> from the Child Tax Credit. </w:t>
      </w:r>
      <w:r w:rsidRPr="006C60B9">
        <w:rPr>
          <w:rStyle w:val="HTMLCite"/>
          <w:rFonts w:ascii="Times New Roman" w:hAnsi="Times New Roman" w:cs="Times New Roman"/>
          <w:color w:val="000000" w:themeColor="text1"/>
          <w:sz w:val="20"/>
          <w:szCs w:val="20"/>
          <w:lang w:val="en-US"/>
        </w:rPr>
        <w:t>The American Economic Review</w:t>
      </w:r>
      <w:r w:rsidRPr="006C60B9">
        <w:rPr>
          <w:rStyle w:val="standard-view-style"/>
          <w:rFonts w:ascii="Times New Roman" w:eastAsiaTheme="majorEastAsia" w:hAnsi="Times New Roman" w:cs="Times New Roman"/>
          <w:color w:val="000000" w:themeColor="text1"/>
          <w:sz w:val="20"/>
          <w:szCs w:val="20"/>
          <w:lang w:val="en-US"/>
        </w:rPr>
        <w:t>. 106 (3): 807-835</w:t>
      </w:r>
      <w:r w:rsidRPr="006C60B9">
        <w:rPr>
          <w:rStyle w:val="standard-view-style"/>
          <w:rFonts w:ascii="Times New Roman" w:hAnsi="Times New Roman" w:cs="Times New Roman"/>
          <w:color w:val="000000" w:themeColor="text1"/>
          <w:sz w:val="20"/>
          <w:szCs w:val="20"/>
          <w:lang w:val="en-US"/>
        </w:rPr>
        <w:t>.</w:t>
      </w:r>
    </w:p>
    <w:p w14:paraId="05193EB7" w14:textId="77777777" w:rsidR="004D4323" w:rsidRPr="006C60B9" w:rsidRDefault="004D4323" w:rsidP="00186583">
      <w:pPr>
        <w:rPr>
          <w:rFonts w:ascii="Times New Roman" w:hAnsi="Times New Roman" w:cs="Times New Roman"/>
          <w:sz w:val="20"/>
          <w:szCs w:val="20"/>
          <w:lang w:val="en-US"/>
        </w:rPr>
      </w:pPr>
      <w:r w:rsidRPr="006C60B9">
        <w:rPr>
          <w:rFonts w:ascii="Times New Roman" w:hAnsi="Times New Roman" w:cs="Times New Roman"/>
          <w:sz w:val="20"/>
          <w:szCs w:val="20"/>
          <w:lang w:val="en-US"/>
        </w:rPr>
        <w:t xml:space="preserve">Heckman, S., Lim, H., and Montalto, C. 2014. Factors Related to Financial Stress among College Students. </w:t>
      </w:r>
      <w:r w:rsidRPr="006C60B9">
        <w:rPr>
          <w:rFonts w:ascii="Times New Roman" w:hAnsi="Times New Roman" w:cs="Times New Roman"/>
          <w:i/>
          <w:sz w:val="20"/>
          <w:szCs w:val="20"/>
          <w:lang w:val="en-US"/>
        </w:rPr>
        <w:t xml:space="preserve">Journal of </w:t>
      </w:r>
      <w:r w:rsidRPr="006C60B9">
        <w:rPr>
          <w:rFonts w:ascii="Times New Roman" w:hAnsi="Times New Roman" w:cs="Times New Roman"/>
          <w:bCs/>
          <w:i/>
          <w:sz w:val="20"/>
          <w:szCs w:val="20"/>
          <w:lang w:val="en-US"/>
        </w:rPr>
        <w:t>Financial</w:t>
      </w:r>
      <w:r w:rsidRPr="006C60B9">
        <w:rPr>
          <w:rFonts w:ascii="Times New Roman" w:hAnsi="Times New Roman" w:cs="Times New Roman"/>
          <w:i/>
          <w:sz w:val="20"/>
          <w:szCs w:val="20"/>
          <w:lang w:val="en-US"/>
        </w:rPr>
        <w:t xml:space="preserve"> Therapy</w:t>
      </w:r>
      <w:r w:rsidRPr="006C60B9">
        <w:rPr>
          <w:rFonts w:ascii="Times New Roman" w:hAnsi="Times New Roman" w:cs="Times New Roman"/>
          <w:sz w:val="20"/>
          <w:szCs w:val="20"/>
          <w:lang w:val="en-US"/>
        </w:rPr>
        <w:t>. 5 (1): 19-39.</w:t>
      </w:r>
    </w:p>
    <w:p w14:paraId="348795D9" w14:textId="77777777" w:rsidR="004D4323" w:rsidRPr="006C60B9" w:rsidRDefault="004D4323" w:rsidP="00186583">
      <w:pPr>
        <w:rPr>
          <w:rFonts w:ascii="Times New Roman" w:hAnsi="Times New Roman" w:cs="Times New Roman"/>
          <w:sz w:val="20"/>
          <w:szCs w:val="20"/>
          <w:lang w:val="en-US"/>
        </w:rPr>
      </w:pPr>
      <w:r w:rsidRPr="006C60B9">
        <w:rPr>
          <w:rFonts w:ascii="Times New Roman" w:hAnsi="Times New Roman" w:cs="Times New Roman"/>
          <w:sz w:val="20"/>
          <w:szCs w:val="20"/>
          <w:lang w:val="en-US"/>
        </w:rPr>
        <w:t xml:space="preserve">Hilgert, M. A. and Hogarth, J. M. 2003. Household financial management: the connection between knowledge and behavior. </w:t>
      </w:r>
      <w:r w:rsidRPr="006C60B9">
        <w:rPr>
          <w:rFonts w:ascii="Times New Roman" w:hAnsi="Times New Roman" w:cs="Times New Roman"/>
          <w:i/>
          <w:sz w:val="20"/>
          <w:szCs w:val="20"/>
          <w:lang w:val="en-US"/>
        </w:rPr>
        <w:t>Federal Reserve Bulletin</w:t>
      </w:r>
      <w:r w:rsidRPr="006C60B9">
        <w:rPr>
          <w:rFonts w:ascii="Times New Roman" w:hAnsi="Times New Roman" w:cs="Times New Roman"/>
          <w:sz w:val="20"/>
          <w:szCs w:val="20"/>
          <w:lang w:val="en-US"/>
        </w:rPr>
        <w:t>. 89 (7): 309-322.</w:t>
      </w:r>
    </w:p>
    <w:p w14:paraId="508C757B" w14:textId="77777777" w:rsidR="004D4323" w:rsidRPr="006C60B9" w:rsidRDefault="004D4323" w:rsidP="00186583">
      <w:pPr>
        <w:rPr>
          <w:rFonts w:ascii="Times New Roman" w:hAnsi="Times New Roman" w:cs="Times New Roman"/>
          <w:sz w:val="20"/>
          <w:szCs w:val="20"/>
          <w:lang w:val="en-US"/>
        </w:rPr>
      </w:pPr>
      <w:r w:rsidRPr="006C60B9">
        <w:rPr>
          <w:rFonts w:ascii="Times New Roman" w:hAnsi="Times New Roman" w:cs="Times New Roman"/>
          <w:sz w:val="20"/>
          <w:szCs w:val="20"/>
          <w:lang w:val="en-US"/>
        </w:rPr>
        <w:t xml:space="preserve">Jacobsen, C. and Correia, J. 2019. Analysis of financial literacy in a college population. </w:t>
      </w:r>
      <w:r w:rsidRPr="006C60B9">
        <w:rPr>
          <w:rFonts w:ascii="Times New Roman" w:hAnsi="Times New Roman" w:cs="Times New Roman"/>
          <w:i/>
          <w:sz w:val="20"/>
          <w:szCs w:val="20"/>
          <w:lang w:val="en-US"/>
        </w:rPr>
        <w:t>Journal of Higher Education Theory and Practice</w:t>
      </w:r>
      <w:r w:rsidRPr="006C60B9">
        <w:rPr>
          <w:rFonts w:ascii="Times New Roman" w:hAnsi="Times New Roman" w:cs="Times New Roman"/>
          <w:sz w:val="20"/>
          <w:szCs w:val="20"/>
          <w:lang w:val="en-US"/>
        </w:rPr>
        <w:t>. 19 (4): 11-18.</w:t>
      </w:r>
    </w:p>
    <w:p w14:paraId="3783CCBF" w14:textId="77777777" w:rsidR="004D4323" w:rsidRPr="006C60B9" w:rsidRDefault="004D4323" w:rsidP="00186583">
      <w:pPr>
        <w:rPr>
          <w:rFonts w:ascii="Times New Roman" w:hAnsi="Times New Roman" w:cs="Times New Roman"/>
          <w:sz w:val="20"/>
          <w:szCs w:val="20"/>
          <w:lang w:val="en-US"/>
        </w:rPr>
      </w:pPr>
      <w:proofErr w:type="spellStart"/>
      <w:r w:rsidRPr="006C60B9">
        <w:rPr>
          <w:rFonts w:ascii="Times New Roman" w:hAnsi="Times New Roman" w:cs="Times New Roman"/>
          <w:sz w:val="20"/>
          <w:szCs w:val="20"/>
          <w:lang w:val="en-US"/>
        </w:rPr>
        <w:t>Kasipillai</w:t>
      </w:r>
      <w:proofErr w:type="spellEnd"/>
      <w:r w:rsidRPr="006C60B9">
        <w:rPr>
          <w:rFonts w:ascii="Times New Roman" w:hAnsi="Times New Roman" w:cs="Times New Roman"/>
          <w:sz w:val="20"/>
          <w:szCs w:val="20"/>
          <w:lang w:val="en-US"/>
        </w:rPr>
        <w:t xml:space="preserve">, J., </w:t>
      </w:r>
      <w:proofErr w:type="spellStart"/>
      <w:r w:rsidRPr="006C60B9">
        <w:rPr>
          <w:rFonts w:ascii="Times New Roman" w:hAnsi="Times New Roman" w:cs="Times New Roman"/>
          <w:sz w:val="20"/>
          <w:szCs w:val="20"/>
          <w:lang w:val="en-US"/>
        </w:rPr>
        <w:t>Aripin</w:t>
      </w:r>
      <w:proofErr w:type="spellEnd"/>
      <w:r w:rsidRPr="006C60B9">
        <w:rPr>
          <w:rFonts w:ascii="Times New Roman" w:hAnsi="Times New Roman" w:cs="Times New Roman"/>
          <w:sz w:val="20"/>
          <w:szCs w:val="20"/>
          <w:lang w:val="en-US"/>
        </w:rPr>
        <w:t xml:space="preserve">, N., Amran, N. 2003. The Influence of Education on Tax Avoidance and Tax Evasion. </w:t>
      </w:r>
      <w:proofErr w:type="spellStart"/>
      <w:r w:rsidRPr="006C60B9">
        <w:rPr>
          <w:rFonts w:ascii="Times New Roman" w:hAnsi="Times New Roman" w:cs="Times New Roman"/>
          <w:i/>
          <w:sz w:val="20"/>
          <w:szCs w:val="20"/>
          <w:lang w:val="en-US"/>
        </w:rPr>
        <w:t>eJournal</w:t>
      </w:r>
      <w:proofErr w:type="spellEnd"/>
      <w:r w:rsidRPr="006C60B9">
        <w:rPr>
          <w:rFonts w:ascii="Times New Roman" w:hAnsi="Times New Roman" w:cs="Times New Roman"/>
          <w:i/>
          <w:sz w:val="20"/>
          <w:szCs w:val="20"/>
          <w:lang w:val="en-US"/>
        </w:rPr>
        <w:t xml:space="preserve"> of </w:t>
      </w:r>
      <w:r w:rsidRPr="006C60B9">
        <w:rPr>
          <w:rFonts w:ascii="Times New Roman" w:hAnsi="Times New Roman" w:cs="Times New Roman"/>
          <w:bCs/>
          <w:i/>
          <w:sz w:val="20"/>
          <w:szCs w:val="20"/>
          <w:lang w:val="en-US"/>
        </w:rPr>
        <w:t>Tax</w:t>
      </w:r>
      <w:r w:rsidRPr="006C60B9">
        <w:rPr>
          <w:rFonts w:ascii="Times New Roman" w:hAnsi="Times New Roman" w:cs="Times New Roman"/>
          <w:i/>
          <w:sz w:val="20"/>
          <w:szCs w:val="20"/>
          <w:lang w:val="en-US"/>
        </w:rPr>
        <w:t xml:space="preserve"> Research</w:t>
      </w:r>
      <w:r w:rsidRPr="006C60B9">
        <w:rPr>
          <w:rFonts w:ascii="Times New Roman" w:hAnsi="Times New Roman" w:cs="Times New Roman"/>
          <w:sz w:val="20"/>
          <w:szCs w:val="20"/>
          <w:lang w:val="en-US"/>
        </w:rPr>
        <w:t>, 1 (2): 134-146.</w:t>
      </w:r>
    </w:p>
    <w:p w14:paraId="565285CA" w14:textId="77777777" w:rsidR="004D4323" w:rsidRPr="006C60B9" w:rsidRDefault="004D4323" w:rsidP="00186583">
      <w:pPr>
        <w:rPr>
          <w:rFonts w:ascii="Times New Roman" w:hAnsi="Times New Roman" w:cs="Times New Roman"/>
          <w:sz w:val="20"/>
          <w:szCs w:val="20"/>
          <w:lang w:val="en-US"/>
        </w:rPr>
      </w:pPr>
      <w:r w:rsidRPr="006C60B9">
        <w:rPr>
          <w:rFonts w:ascii="Times New Roman" w:hAnsi="Times New Roman" w:cs="Times New Roman"/>
          <w:sz w:val="20"/>
          <w:szCs w:val="20"/>
          <w:lang w:val="en-US"/>
        </w:rPr>
        <w:t xml:space="preserve">Kim, K. and Lee, J. 2018. Financial literacy and use of payday loans in the United States. </w:t>
      </w:r>
      <w:r w:rsidRPr="006C60B9">
        <w:rPr>
          <w:rFonts w:ascii="Times New Roman" w:hAnsi="Times New Roman" w:cs="Times New Roman"/>
          <w:i/>
          <w:sz w:val="20"/>
          <w:szCs w:val="20"/>
          <w:lang w:val="en-US"/>
        </w:rPr>
        <w:t>Applied Economics Letters</w:t>
      </w:r>
      <w:r w:rsidRPr="006C60B9">
        <w:rPr>
          <w:rFonts w:ascii="Times New Roman" w:hAnsi="Times New Roman" w:cs="Times New Roman"/>
          <w:sz w:val="20"/>
          <w:szCs w:val="20"/>
          <w:lang w:val="en-US"/>
        </w:rPr>
        <w:t>, 25 (11): 781-781.</w:t>
      </w:r>
    </w:p>
    <w:p w14:paraId="36E37E62" w14:textId="77777777" w:rsidR="004D4323" w:rsidRPr="006C60B9" w:rsidRDefault="004D4323" w:rsidP="00186583">
      <w:pPr>
        <w:rPr>
          <w:rFonts w:ascii="Times New Roman" w:hAnsi="Times New Roman" w:cs="Times New Roman"/>
          <w:sz w:val="20"/>
          <w:szCs w:val="20"/>
          <w:lang w:val="en-US"/>
        </w:rPr>
      </w:pPr>
      <w:proofErr w:type="spellStart"/>
      <w:r w:rsidRPr="006C60B9">
        <w:rPr>
          <w:rFonts w:ascii="Times New Roman" w:hAnsi="Times New Roman" w:cs="Times New Roman"/>
          <w:sz w:val="20"/>
          <w:szCs w:val="20"/>
          <w:lang w:val="en-US"/>
        </w:rPr>
        <w:t>Koretskaya</w:t>
      </w:r>
      <w:proofErr w:type="spellEnd"/>
      <w:r w:rsidRPr="006C60B9">
        <w:rPr>
          <w:rFonts w:ascii="Times New Roman" w:hAnsi="Times New Roman" w:cs="Times New Roman"/>
          <w:sz w:val="20"/>
          <w:szCs w:val="20"/>
          <w:lang w:val="en-US"/>
        </w:rPr>
        <w:t xml:space="preserve">-Garmash, V. A. 2017. Taxation awareness and its impact </w:t>
      </w:r>
      <w:proofErr w:type="gramStart"/>
      <w:r w:rsidRPr="006C60B9">
        <w:rPr>
          <w:rFonts w:ascii="Times New Roman" w:hAnsi="Times New Roman" w:cs="Times New Roman"/>
          <w:sz w:val="20"/>
          <w:szCs w:val="20"/>
          <w:lang w:val="en-US"/>
        </w:rPr>
        <w:t>of</w:t>
      </w:r>
      <w:proofErr w:type="gramEnd"/>
      <w:r w:rsidRPr="006C60B9">
        <w:rPr>
          <w:rFonts w:ascii="Times New Roman" w:hAnsi="Times New Roman" w:cs="Times New Roman"/>
          <w:sz w:val="20"/>
          <w:szCs w:val="20"/>
          <w:lang w:val="en-US"/>
        </w:rPr>
        <w:t xml:space="preserve"> financial literacy. </w:t>
      </w:r>
      <w:r w:rsidRPr="006C60B9">
        <w:rPr>
          <w:rFonts w:ascii="Times New Roman" w:hAnsi="Times New Roman" w:cs="Times New Roman"/>
          <w:i/>
          <w:sz w:val="20"/>
          <w:szCs w:val="20"/>
          <w:lang w:val="en-US"/>
        </w:rPr>
        <w:t>Journal of Tax Reform</w:t>
      </w:r>
      <w:r w:rsidRPr="006C60B9">
        <w:rPr>
          <w:rFonts w:ascii="Times New Roman" w:hAnsi="Times New Roman" w:cs="Times New Roman"/>
          <w:sz w:val="20"/>
          <w:szCs w:val="20"/>
          <w:lang w:val="en-US"/>
        </w:rPr>
        <w:t>, 3 (2): 131-142.</w:t>
      </w:r>
    </w:p>
    <w:p w14:paraId="507453F0" w14:textId="77777777" w:rsidR="004D4323" w:rsidRPr="006C60B9" w:rsidRDefault="004D4323" w:rsidP="00186583">
      <w:pPr>
        <w:rPr>
          <w:rFonts w:ascii="Times New Roman" w:hAnsi="Times New Roman" w:cs="Times New Roman"/>
          <w:b/>
          <w:color w:val="000000" w:themeColor="text1"/>
          <w:sz w:val="20"/>
          <w:szCs w:val="20"/>
          <w:lang w:val="en-US"/>
        </w:rPr>
      </w:pPr>
      <w:r w:rsidRPr="006C60B9">
        <w:rPr>
          <w:rFonts w:ascii="Times New Roman" w:eastAsiaTheme="minorEastAsia" w:hAnsi="Times New Roman" w:cs="Times New Roman"/>
          <w:color w:val="000000" w:themeColor="text1"/>
          <w:sz w:val="20"/>
          <w:szCs w:val="20"/>
          <w:lang w:val="en-US" w:eastAsia="zh-CN"/>
        </w:rPr>
        <w:t xml:space="preserve">Krische, S. D. 2019. Investment Experience, Financial Literacy, and Investment-Related Judgments. </w:t>
      </w:r>
      <w:r w:rsidRPr="006C60B9">
        <w:rPr>
          <w:rFonts w:ascii="Times New Roman" w:hAnsi="Times New Roman" w:cs="Times New Roman"/>
          <w:i/>
          <w:color w:val="000000" w:themeColor="text1"/>
          <w:sz w:val="20"/>
          <w:szCs w:val="20"/>
          <w:lang w:val="en-US"/>
        </w:rPr>
        <w:t>Contemporary Accounting Research</w:t>
      </w:r>
      <w:r w:rsidRPr="006C60B9">
        <w:rPr>
          <w:rFonts w:ascii="Times New Roman" w:hAnsi="Times New Roman" w:cs="Times New Roman"/>
          <w:color w:val="000000" w:themeColor="text1"/>
          <w:sz w:val="20"/>
          <w:szCs w:val="20"/>
          <w:lang w:val="en-US"/>
        </w:rPr>
        <w:t>, 36 (3): 1634-1668.</w:t>
      </w:r>
    </w:p>
    <w:p w14:paraId="19C4EBF7" w14:textId="77777777" w:rsidR="004D4323" w:rsidRPr="006C60B9" w:rsidRDefault="004D4323" w:rsidP="00186583">
      <w:pPr>
        <w:rPr>
          <w:rFonts w:ascii="Times New Roman" w:hAnsi="Times New Roman" w:cs="Times New Roman"/>
          <w:sz w:val="20"/>
          <w:szCs w:val="20"/>
          <w:lang w:val="en-US"/>
        </w:rPr>
      </w:pPr>
      <w:r w:rsidRPr="006C60B9">
        <w:rPr>
          <w:rFonts w:ascii="Times New Roman" w:hAnsi="Times New Roman" w:cs="Times New Roman"/>
          <w:sz w:val="20"/>
          <w:szCs w:val="20"/>
          <w:lang w:val="en-US"/>
        </w:rPr>
        <w:t xml:space="preserve">Latiff, A., Noordin, B., Omar, M., </w:t>
      </w:r>
      <w:proofErr w:type="spellStart"/>
      <w:r w:rsidRPr="006C60B9">
        <w:rPr>
          <w:rFonts w:ascii="Times New Roman" w:hAnsi="Times New Roman" w:cs="Times New Roman"/>
          <w:sz w:val="20"/>
          <w:szCs w:val="20"/>
          <w:lang w:val="en-US"/>
        </w:rPr>
        <w:t>Harjito</w:t>
      </w:r>
      <w:proofErr w:type="spellEnd"/>
      <w:r w:rsidRPr="006C60B9">
        <w:rPr>
          <w:rFonts w:ascii="Times New Roman" w:hAnsi="Times New Roman" w:cs="Times New Roman"/>
          <w:sz w:val="20"/>
          <w:szCs w:val="20"/>
          <w:lang w:val="en-US"/>
        </w:rPr>
        <w:t xml:space="preserve">, D. 2005. Tax literacy rate among taxpayers: evidence from Malaysia. </w:t>
      </w:r>
      <w:proofErr w:type="spellStart"/>
      <w:r w:rsidRPr="006C60B9">
        <w:rPr>
          <w:rStyle w:val="pub-meta-item"/>
          <w:rFonts w:ascii="Times New Roman" w:hAnsi="Times New Roman" w:cs="Times New Roman"/>
          <w:i/>
          <w:sz w:val="20"/>
          <w:szCs w:val="20"/>
          <w:lang w:val="en-US"/>
        </w:rPr>
        <w:t>Jurnal</w:t>
      </w:r>
      <w:proofErr w:type="spellEnd"/>
      <w:r w:rsidRPr="006C60B9">
        <w:rPr>
          <w:rStyle w:val="pub-meta-item"/>
          <w:rFonts w:ascii="Times New Roman" w:hAnsi="Times New Roman" w:cs="Times New Roman"/>
          <w:i/>
          <w:sz w:val="20"/>
          <w:szCs w:val="20"/>
          <w:lang w:val="en-US"/>
        </w:rPr>
        <w:t xml:space="preserve"> </w:t>
      </w:r>
      <w:proofErr w:type="spellStart"/>
      <w:r w:rsidRPr="006C60B9">
        <w:rPr>
          <w:rStyle w:val="pub-meta-item"/>
          <w:rFonts w:ascii="Times New Roman" w:hAnsi="Times New Roman" w:cs="Times New Roman"/>
          <w:i/>
          <w:sz w:val="20"/>
          <w:szCs w:val="20"/>
          <w:lang w:val="en-US"/>
        </w:rPr>
        <w:t>Akuntansi</w:t>
      </w:r>
      <w:proofErr w:type="spellEnd"/>
      <w:r w:rsidRPr="006C60B9">
        <w:rPr>
          <w:rStyle w:val="pub-meta-item"/>
          <w:rFonts w:ascii="Times New Roman" w:hAnsi="Times New Roman" w:cs="Times New Roman"/>
          <w:i/>
          <w:sz w:val="20"/>
          <w:szCs w:val="20"/>
          <w:lang w:val="en-US"/>
        </w:rPr>
        <w:t xml:space="preserve"> dan Auditing Indonesia</w:t>
      </w:r>
      <w:r w:rsidRPr="006C60B9">
        <w:rPr>
          <w:rStyle w:val="pub-meta-item"/>
          <w:rFonts w:ascii="Times New Roman" w:hAnsi="Times New Roman" w:cs="Times New Roman"/>
          <w:sz w:val="20"/>
          <w:szCs w:val="20"/>
          <w:lang w:val="en-US"/>
        </w:rPr>
        <w:t xml:space="preserve">, </w:t>
      </w:r>
      <w:r w:rsidRPr="006C60B9">
        <w:rPr>
          <w:rFonts w:ascii="Times New Roman" w:hAnsi="Times New Roman" w:cs="Times New Roman"/>
          <w:sz w:val="20"/>
          <w:szCs w:val="20"/>
          <w:lang w:val="en-US"/>
        </w:rPr>
        <w:t>9 (1): 1-11.</w:t>
      </w:r>
    </w:p>
    <w:p w14:paraId="329D2B0A" w14:textId="77777777" w:rsidR="004D4323" w:rsidRPr="006C60B9" w:rsidRDefault="004D4323" w:rsidP="00186583">
      <w:pPr>
        <w:rPr>
          <w:rFonts w:ascii="Times New Roman" w:hAnsi="Times New Roman" w:cs="Times New Roman"/>
          <w:b/>
          <w:color w:val="000000" w:themeColor="text1"/>
          <w:sz w:val="20"/>
          <w:szCs w:val="20"/>
          <w:lang w:val="en-US"/>
        </w:rPr>
      </w:pPr>
      <w:proofErr w:type="spellStart"/>
      <w:r w:rsidRPr="006C60B9">
        <w:rPr>
          <w:rFonts w:ascii="Times New Roman" w:hAnsi="Times New Roman" w:cs="Times New Roman"/>
          <w:color w:val="000000" w:themeColor="text1"/>
          <w:sz w:val="20"/>
          <w:szCs w:val="20"/>
          <w:lang w:val="en-US"/>
        </w:rPr>
        <w:lastRenderedPageBreak/>
        <w:t>Letkiewcz</w:t>
      </w:r>
      <w:proofErr w:type="spellEnd"/>
      <w:r w:rsidRPr="006C60B9">
        <w:rPr>
          <w:rFonts w:ascii="Times New Roman" w:hAnsi="Times New Roman" w:cs="Times New Roman"/>
          <w:color w:val="000000" w:themeColor="text1"/>
          <w:sz w:val="20"/>
          <w:szCs w:val="20"/>
          <w:lang w:val="en-US"/>
        </w:rPr>
        <w:t xml:space="preserve">, J. and Fox, J. J. 2014. Conscientiousness, financial literacy, and asset accumulation of young adults. </w:t>
      </w:r>
      <w:r w:rsidRPr="006C60B9">
        <w:rPr>
          <w:rFonts w:ascii="Times New Roman" w:hAnsi="Times New Roman" w:cs="Times New Roman"/>
          <w:i/>
          <w:color w:val="000000" w:themeColor="text1"/>
          <w:sz w:val="20"/>
          <w:szCs w:val="20"/>
          <w:lang w:val="en-US"/>
        </w:rPr>
        <w:t>The Journal of Consumer Affairs</w:t>
      </w:r>
      <w:r w:rsidRPr="006C60B9">
        <w:rPr>
          <w:rFonts w:ascii="Times New Roman" w:hAnsi="Times New Roman" w:cs="Times New Roman"/>
          <w:color w:val="000000" w:themeColor="text1"/>
          <w:sz w:val="20"/>
          <w:szCs w:val="20"/>
          <w:lang w:val="en-US"/>
        </w:rPr>
        <w:t>, Summer 2014: 274-300.</w:t>
      </w:r>
    </w:p>
    <w:p w14:paraId="5288DCF9" w14:textId="77777777" w:rsidR="004D4323" w:rsidRPr="006C60B9" w:rsidRDefault="004D4323" w:rsidP="00186583">
      <w:pPr>
        <w:rPr>
          <w:rFonts w:ascii="Times New Roman" w:hAnsi="Times New Roman" w:cs="Times New Roman"/>
          <w:sz w:val="20"/>
          <w:szCs w:val="20"/>
          <w:lang w:val="en-US"/>
        </w:rPr>
      </w:pPr>
      <w:bookmarkStart w:id="3" w:name="Result_4"/>
      <w:r w:rsidRPr="006C60B9">
        <w:rPr>
          <w:rFonts w:ascii="Times New Roman" w:hAnsi="Times New Roman" w:cs="Times New Roman"/>
          <w:sz w:val="20"/>
          <w:szCs w:val="20"/>
          <w:lang w:val="en-US"/>
        </w:rPr>
        <w:t>Lusardi, A. and Mitchell, O. S. 2011. Financial literacy around the world: an overview.</w:t>
      </w:r>
      <w:bookmarkEnd w:id="3"/>
      <w:r w:rsidRPr="006C60B9">
        <w:rPr>
          <w:rFonts w:ascii="Times New Roman" w:hAnsi="Times New Roman" w:cs="Times New Roman"/>
          <w:sz w:val="20"/>
          <w:szCs w:val="20"/>
          <w:lang w:val="en-US"/>
        </w:rPr>
        <w:t xml:space="preserve"> </w:t>
      </w:r>
      <w:r w:rsidRPr="006C60B9">
        <w:rPr>
          <w:rFonts w:ascii="Times New Roman" w:hAnsi="Times New Roman" w:cs="Times New Roman"/>
          <w:i/>
          <w:sz w:val="20"/>
          <w:szCs w:val="20"/>
          <w:lang w:val="en-US"/>
        </w:rPr>
        <w:t>Journal of Pension Economics &amp; Finance</w:t>
      </w:r>
      <w:r w:rsidRPr="006C60B9">
        <w:rPr>
          <w:rFonts w:ascii="Times New Roman" w:hAnsi="Times New Roman" w:cs="Times New Roman"/>
          <w:sz w:val="20"/>
          <w:szCs w:val="20"/>
          <w:lang w:val="en-US"/>
        </w:rPr>
        <w:t>, 10 (4): 497-508.</w:t>
      </w:r>
    </w:p>
    <w:p w14:paraId="67921B17" w14:textId="77777777" w:rsidR="004D4323" w:rsidRPr="006C60B9" w:rsidRDefault="004D4323" w:rsidP="00186583">
      <w:pPr>
        <w:rPr>
          <w:rFonts w:ascii="Times New Roman" w:hAnsi="Times New Roman" w:cs="Times New Roman"/>
          <w:sz w:val="20"/>
          <w:szCs w:val="20"/>
          <w:lang w:val="en-US"/>
        </w:rPr>
      </w:pPr>
      <w:r w:rsidRPr="006C60B9">
        <w:rPr>
          <w:rFonts w:ascii="Times New Roman" w:hAnsi="Times New Roman" w:cs="Times New Roman"/>
          <w:sz w:val="20"/>
          <w:szCs w:val="20"/>
          <w:lang w:val="en-US"/>
        </w:rPr>
        <w:t xml:space="preserve">Lusardi, A. and Mitchell, O. S., and Curto, V. 2010. Financial literacy among the young The </w:t>
      </w:r>
      <w:r w:rsidRPr="006C60B9">
        <w:rPr>
          <w:rFonts w:ascii="Times New Roman" w:hAnsi="Times New Roman" w:cs="Times New Roman"/>
          <w:i/>
          <w:sz w:val="20"/>
          <w:szCs w:val="20"/>
          <w:lang w:val="en-US"/>
        </w:rPr>
        <w:t>Journal of Consider Affairs</w:t>
      </w:r>
      <w:r w:rsidRPr="006C60B9">
        <w:rPr>
          <w:rFonts w:ascii="Times New Roman" w:hAnsi="Times New Roman" w:cs="Times New Roman"/>
          <w:sz w:val="20"/>
          <w:szCs w:val="20"/>
          <w:lang w:val="en-US"/>
        </w:rPr>
        <w:t>, 44 (2): 358-380.</w:t>
      </w:r>
    </w:p>
    <w:p w14:paraId="6B262B01" w14:textId="77777777" w:rsidR="004D4323" w:rsidRPr="006C60B9" w:rsidRDefault="004D4323" w:rsidP="00186583">
      <w:pPr>
        <w:rPr>
          <w:rFonts w:ascii="Times New Roman" w:hAnsi="Times New Roman" w:cs="Times New Roman"/>
          <w:sz w:val="20"/>
          <w:szCs w:val="20"/>
          <w:lang w:val="en-US"/>
        </w:rPr>
      </w:pPr>
      <w:r w:rsidRPr="006C60B9">
        <w:rPr>
          <w:rFonts w:ascii="Times New Roman" w:hAnsi="Times New Roman" w:cs="Times New Roman"/>
          <w:sz w:val="20"/>
          <w:szCs w:val="20"/>
          <w:lang w:val="en-US"/>
        </w:rPr>
        <w:t xml:space="preserve">Lyon, E. and Caitlin, J. R. 2020. Consumer misconceptions about tax laws: results from a survey in the United States. </w:t>
      </w:r>
      <w:r w:rsidRPr="006C60B9">
        <w:rPr>
          <w:rFonts w:ascii="Times New Roman" w:hAnsi="Times New Roman" w:cs="Times New Roman"/>
          <w:i/>
          <w:sz w:val="20"/>
          <w:szCs w:val="20"/>
          <w:lang w:val="en-US"/>
        </w:rPr>
        <w:t>Journal of Consumer Policy</w:t>
      </w:r>
      <w:r w:rsidRPr="006C60B9">
        <w:rPr>
          <w:rFonts w:ascii="Times New Roman" w:hAnsi="Times New Roman" w:cs="Times New Roman"/>
          <w:sz w:val="20"/>
          <w:szCs w:val="20"/>
          <w:lang w:val="en-US"/>
        </w:rPr>
        <w:t>, 43: 807-828.</w:t>
      </w:r>
    </w:p>
    <w:p w14:paraId="324CA38D" w14:textId="77777777" w:rsidR="004D4323" w:rsidRPr="006C60B9" w:rsidRDefault="004D4323" w:rsidP="00186583">
      <w:pPr>
        <w:rPr>
          <w:rFonts w:ascii="Times New Roman" w:hAnsi="Times New Roman" w:cs="Times New Roman"/>
          <w:sz w:val="20"/>
          <w:szCs w:val="20"/>
          <w:lang w:val="en-US"/>
        </w:rPr>
      </w:pPr>
      <w:r w:rsidRPr="006C60B9">
        <w:rPr>
          <w:rFonts w:ascii="Times New Roman" w:hAnsi="Times New Roman" w:cs="Times New Roman"/>
          <w:sz w:val="20"/>
          <w:szCs w:val="20"/>
          <w:lang w:val="en-US"/>
        </w:rPr>
        <w:t xml:space="preserve">Masselli, J., Ricketts, R. C., Arnold, V., and Sutton, S. 2002. The impact of embedded intelligent agents on tax reporting decisions. </w:t>
      </w:r>
      <w:r w:rsidRPr="006C60B9">
        <w:rPr>
          <w:rFonts w:ascii="Times New Roman" w:hAnsi="Times New Roman" w:cs="Times New Roman"/>
          <w:i/>
          <w:sz w:val="20"/>
          <w:szCs w:val="20"/>
          <w:lang w:val="en-US"/>
        </w:rPr>
        <w:t>The Journal of the American Taxation Association</w:t>
      </w:r>
      <w:r w:rsidRPr="006C60B9">
        <w:rPr>
          <w:rFonts w:ascii="Times New Roman" w:hAnsi="Times New Roman" w:cs="Times New Roman"/>
          <w:sz w:val="20"/>
          <w:szCs w:val="20"/>
          <w:lang w:val="en-US"/>
        </w:rPr>
        <w:t>, 24 (2): 60-78.</w:t>
      </w:r>
    </w:p>
    <w:p w14:paraId="412B1823" w14:textId="77777777" w:rsidR="004D4323" w:rsidRPr="006C60B9" w:rsidRDefault="004D4323" w:rsidP="00186583">
      <w:pPr>
        <w:rPr>
          <w:rFonts w:ascii="Times New Roman" w:hAnsi="Times New Roman" w:cs="Times New Roman"/>
          <w:sz w:val="20"/>
          <w:szCs w:val="20"/>
          <w:lang w:val="en-US"/>
        </w:rPr>
      </w:pPr>
      <w:proofErr w:type="spellStart"/>
      <w:r w:rsidRPr="006C60B9">
        <w:rPr>
          <w:rFonts w:ascii="Times New Roman" w:hAnsi="Times New Roman" w:cs="Times New Roman"/>
          <w:sz w:val="20"/>
          <w:szCs w:val="20"/>
          <w:lang w:val="en-US"/>
        </w:rPr>
        <w:t>Mouckova</w:t>
      </w:r>
      <w:proofErr w:type="spellEnd"/>
      <w:r w:rsidRPr="006C60B9">
        <w:rPr>
          <w:rFonts w:ascii="Times New Roman" w:hAnsi="Times New Roman" w:cs="Times New Roman"/>
          <w:sz w:val="20"/>
          <w:szCs w:val="20"/>
          <w:lang w:val="en-US"/>
        </w:rPr>
        <w:t xml:space="preserve">, M. and </w:t>
      </w:r>
      <w:proofErr w:type="spellStart"/>
      <w:r w:rsidRPr="006C60B9">
        <w:rPr>
          <w:rFonts w:ascii="Times New Roman" w:hAnsi="Times New Roman" w:cs="Times New Roman"/>
          <w:sz w:val="20"/>
          <w:szCs w:val="20"/>
          <w:lang w:val="en-US"/>
        </w:rPr>
        <w:t>Vitek</w:t>
      </w:r>
      <w:proofErr w:type="spellEnd"/>
      <w:r w:rsidRPr="006C60B9">
        <w:rPr>
          <w:rFonts w:ascii="Times New Roman" w:hAnsi="Times New Roman" w:cs="Times New Roman"/>
          <w:sz w:val="20"/>
          <w:szCs w:val="20"/>
          <w:lang w:val="en-US"/>
        </w:rPr>
        <w:t>, L. 2018. Tax Literacy.</w:t>
      </w:r>
      <w:r w:rsidRPr="006C60B9">
        <w:rPr>
          <w:rStyle w:val="standard-view-style"/>
          <w:rFonts w:ascii="Times New Roman" w:hAnsi="Times New Roman" w:cs="Times New Roman"/>
          <w:sz w:val="20"/>
          <w:szCs w:val="20"/>
          <w:lang w:val="en-US"/>
        </w:rPr>
        <w:t xml:space="preserve"> </w:t>
      </w:r>
      <w:r w:rsidRPr="006C60B9">
        <w:rPr>
          <w:rStyle w:val="standard-view-style"/>
          <w:rFonts w:ascii="Times New Roman" w:hAnsi="Times New Roman" w:cs="Times New Roman"/>
          <w:i/>
          <w:sz w:val="20"/>
          <w:szCs w:val="20"/>
          <w:lang w:val="en-US"/>
        </w:rPr>
        <w:t xml:space="preserve">Acta Universitatis </w:t>
      </w:r>
      <w:proofErr w:type="spellStart"/>
      <w:r w:rsidRPr="006C60B9">
        <w:rPr>
          <w:rStyle w:val="standard-view-style"/>
          <w:rFonts w:ascii="Times New Roman" w:hAnsi="Times New Roman" w:cs="Times New Roman"/>
          <w:i/>
          <w:sz w:val="20"/>
          <w:szCs w:val="20"/>
          <w:lang w:val="en-US"/>
        </w:rPr>
        <w:t>Agriculturae</w:t>
      </w:r>
      <w:proofErr w:type="spellEnd"/>
      <w:r w:rsidRPr="006C60B9">
        <w:rPr>
          <w:rStyle w:val="standard-view-style"/>
          <w:rFonts w:ascii="Times New Roman" w:hAnsi="Times New Roman" w:cs="Times New Roman"/>
          <w:i/>
          <w:sz w:val="20"/>
          <w:szCs w:val="20"/>
          <w:lang w:val="en-US"/>
        </w:rPr>
        <w:t xml:space="preserve"> et </w:t>
      </w:r>
      <w:proofErr w:type="spellStart"/>
      <w:r w:rsidRPr="006C60B9">
        <w:rPr>
          <w:rStyle w:val="standard-view-style"/>
          <w:rFonts w:ascii="Times New Roman" w:hAnsi="Times New Roman" w:cs="Times New Roman"/>
          <w:i/>
          <w:sz w:val="20"/>
          <w:szCs w:val="20"/>
          <w:lang w:val="en-US"/>
        </w:rPr>
        <w:t>Silviculturae</w:t>
      </w:r>
      <w:proofErr w:type="spellEnd"/>
      <w:r w:rsidRPr="006C60B9">
        <w:rPr>
          <w:rStyle w:val="standard-view-style"/>
          <w:rFonts w:ascii="Times New Roman" w:hAnsi="Times New Roman" w:cs="Times New Roman"/>
          <w:i/>
          <w:sz w:val="20"/>
          <w:szCs w:val="20"/>
          <w:lang w:val="en-US"/>
        </w:rPr>
        <w:t xml:space="preserve"> </w:t>
      </w:r>
      <w:proofErr w:type="spellStart"/>
      <w:r w:rsidRPr="006C60B9">
        <w:rPr>
          <w:rStyle w:val="standard-view-style"/>
          <w:rFonts w:ascii="Times New Roman" w:hAnsi="Times New Roman" w:cs="Times New Roman"/>
          <w:i/>
          <w:sz w:val="20"/>
          <w:szCs w:val="20"/>
          <w:lang w:val="en-US"/>
        </w:rPr>
        <w:t>Mendelianae</w:t>
      </w:r>
      <w:proofErr w:type="spellEnd"/>
      <w:r w:rsidRPr="006C60B9">
        <w:rPr>
          <w:rStyle w:val="standard-view-style"/>
          <w:rFonts w:ascii="Times New Roman" w:hAnsi="Times New Roman" w:cs="Times New Roman"/>
          <w:i/>
          <w:sz w:val="20"/>
          <w:szCs w:val="20"/>
          <w:lang w:val="en-US"/>
        </w:rPr>
        <w:t xml:space="preserve"> </w:t>
      </w:r>
      <w:proofErr w:type="spellStart"/>
      <w:r w:rsidRPr="006C60B9">
        <w:rPr>
          <w:rStyle w:val="standard-view-style"/>
          <w:rFonts w:ascii="Times New Roman" w:hAnsi="Times New Roman" w:cs="Times New Roman"/>
          <w:i/>
          <w:sz w:val="20"/>
          <w:szCs w:val="20"/>
          <w:lang w:val="en-US"/>
        </w:rPr>
        <w:t>Brunensis</w:t>
      </w:r>
      <w:proofErr w:type="spellEnd"/>
      <w:r w:rsidRPr="006C60B9">
        <w:rPr>
          <w:rStyle w:val="standard-view-style"/>
          <w:rFonts w:ascii="Times New Roman" w:hAnsi="Times New Roman" w:cs="Times New Roman"/>
          <w:sz w:val="20"/>
          <w:szCs w:val="20"/>
          <w:lang w:val="en-US"/>
        </w:rPr>
        <w:t>, 66 (2): 553-559.</w:t>
      </w:r>
    </w:p>
    <w:p w14:paraId="2D49CE3C" w14:textId="77777777" w:rsidR="004D4323" w:rsidRPr="006C60B9" w:rsidRDefault="004D4323" w:rsidP="00186583">
      <w:pPr>
        <w:rPr>
          <w:rStyle w:val="standard-view-style"/>
          <w:rFonts w:ascii="Times New Roman" w:hAnsi="Times New Roman" w:cs="Times New Roman"/>
          <w:sz w:val="20"/>
          <w:szCs w:val="20"/>
          <w:lang w:val="en-US"/>
        </w:rPr>
      </w:pPr>
      <w:r w:rsidRPr="006C60B9">
        <w:rPr>
          <w:rFonts w:ascii="Times New Roman" w:hAnsi="Times New Roman" w:cs="Times New Roman"/>
          <w:sz w:val="20"/>
          <w:szCs w:val="20"/>
          <w:lang w:val="en-US"/>
        </w:rPr>
        <w:t>Nichita, R. 2015.</w:t>
      </w:r>
      <w:r w:rsidRPr="006C60B9">
        <w:rPr>
          <w:rStyle w:val="standard-view-style"/>
          <w:rFonts w:ascii="Times New Roman" w:hAnsi="Times New Roman" w:cs="Times New Roman"/>
          <w:sz w:val="20"/>
          <w:szCs w:val="20"/>
          <w:lang w:val="en-US"/>
        </w:rPr>
        <w:t xml:space="preserve"> </w:t>
      </w:r>
      <w:r w:rsidRPr="006C60B9">
        <w:rPr>
          <w:rFonts w:ascii="Times New Roman" w:hAnsi="Times New Roman" w:cs="Times New Roman"/>
          <w:sz w:val="20"/>
          <w:szCs w:val="20"/>
          <w:lang w:val="en-US"/>
        </w:rPr>
        <w:t xml:space="preserve">Knowledge is power. Improving tax compliance by means of boosting tax literacy. </w:t>
      </w:r>
      <w:r w:rsidRPr="006C60B9">
        <w:rPr>
          <w:rStyle w:val="standard-view-style"/>
          <w:rFonts w:ascii="Times New Roman" w:hAnsi="Times New Roman" w:cs="Times New Roman"/>
          <w:i/>
          <w:sz w:val="20"/>
          <w:szCs w:val="20"/>
          <w:lang w:val="en-US"/>
        </w:rPr>
        <w:t>Annals of the University of Oradea: Economic Science</w:t>
      </w:r>
      <w:r w:rsidRPr="006C60B9">
        <w:rPr>
          <w:rStyle w:val="standard-view-style"/>
          <w:rFonts w:ascii="Times New Roman" w:hAnsi="Times New Roman" w:cs="Times New Roman"/>
          <w:sz w:val="20"/>
          <w:szCs w:val="20"/>
          <w:lang w:val="en-US"/>
        </w:rPr>
        <w:t>, 25 (1): 770-774.</w:t>
      </w:r>
    </w:p>
    <w:p w14:paraId="03798D45" w14:textId="6EE98ECF" w:rsidR="004D4323" w:rsidRPr="006C60B9" w:rsidRDefault="004D4323" w:rsidP="00186583">
      <w:pPr>
        <w:rPr>
          <w:rFonts w:ascii="Times New Roman" w:hAnsi="Times New Roman" w:cs="Times New Roman"/>
          <w:color w:val="000000" w:themeColor="text1"/>
          <w:sz w:val="20"/>
          <w:szCs w:val="20"/>
          <w:lang w:val="en-US"/>
        </w:rPr>
      </w:pPr>
      <w:r w:rsidRPr="006C60B9">
        <w:rPr>
          <w:rFonts w:ascii="Times New Roman" w:hAnsi="Times New Roman" w:cs="Times New Roman"/>
          <w:color w:val="000000" w:themeColor="text1"/>
          <w:sz w:val="20"/>
          <w:szCs w:val="20"/>
          <w:lang w:val="en-US"/>
        </w:rPr>
        <w:t xml:space="preserve">Nichita, A., </w:t>
      </w:r>
      <w:proofErr w:type="spellStart"/>
      <w:r w:rsidRPr="006C60B9">
        <w:rPr>
          <w:rFonts w:ascii="Times New Roman" w:hAnsi="Times New Roman" w:cs="Times New Roman"/>
          <w:color w:val="000000" w:themeColor="text1"/>
          <w:sz w:val="20"/>
          <w:szCs w:val="20"/>
          <w:lang w:val="en-US"/>
        </w:rPr>
        <w:t>Batrancea</w:t>
      </w:r>
      <w:proofErr w:type="spellEnd"/>
      <w:r w:rsidRPr="006C60B9">
        <w:rPr>
          <w:rFonts w:ascii="Times New Roman" w:hAnsi="Times New Roman" w:cs="Times New Roman"/>
          <w:color w:val="000000" w:themeColor="text1"/>
          <w:sz w:val="20"/>
          <w:szCs w:val="20"/>
          <w:lang w:val="en-US"/>
        </w:rPr>
        <w:t xml:space="preserve">, L., Pop, C. M., Morar, I. D., </w:t>
      </w:r>
      <w:proofErr w:type="spellStart"/>
      <w:r w:rsidRPr="006C60B9">
        <w:rPr>
          <w:rFonts w:ascii="Times New Roman" w:hAnsi="Times New Roman" w:cs="Times New Roman"/>
          <w:color w:val="000000" w:themeColor="text1"/>
          <w:sz w:val="20"/>
          <w:szCs w:val="20"/>
          <w:lang w:val="en-US"/>
        </w:rPr>
        <w:t>Masca</w:t>
      </w:r>
      <w:proofErr w:type="spellEnd"/>
      <w:r w:rsidRPr="006C60B9">
        <w:rPr>
          <w:rFonts w:ascii="Times New Roman" w:hAnsi="Times New Roman" w:cs="Times New Roman"/>
          <w:color w:val="000000" w:themeColor="text1"/>
          <w:sz w:val="20"/>
          <w:szCs w:val="20"/>
          <w:lang w:val="en-US"/>
        </w:rPr>
        <w:t>, E., Roux-Cesar, A. M., Forte, D., Formigoni, H., de Silva, A. A. (2019). We learn not for school but for life: empirical evidence of the impact of tax literacy on tax compliance</w:t>
      </w:r>
      <w:r w:rsidRPr="006C60B9">
        <w:rPr>
          <w:rFonts w:ascii="Times New Roman" w:eastAsiaTheme="minorEastAsia" w:hAnsi="Times New Roman" w:cs="Times New Roman"/>
          <w:color w:val="000000" w:themeColor="text1"/>
          <w:sz w:val="20"/>
          <w:szCs w:val="20"/>
          <w:lang w:val="en-US"/>
        </w:rPr>
        <w:t xml:space="preserve">. </w:t>
      </w:r>
      <w:r w:rsidRPr="006C60B9">
        <w:rPr>
          <w:rFonts w:ascii="Times New Roman" w:hAnsi="Times New Roman" w:cs="Times New Roman"/>
          <w:i/>
          <w:color w:val="000000" w:themeColor="text1"/>
          <w:sz w:val="20"/>
          <w:szCs w:val="20"/>
          <w:lang w:val="en-US"/>
        </w:rPr>
        <w:t>Eastern European Economics</w:t>
      </w:r>
      <w:r w:rsidRPr="006C60B9">
        <w:rPr>
          <w:rFonts w:ascii="Times New Roman" w:hAnsi="Times New Roman" w:cs="Times New Roman"/>
          <w:color w:val="000000" w:themeColor="text1"/>
          <w:sz w:val="20"/>
          <w:szCs w:val="20"/>
          <w:lang w:val="en-US"/>
        </w:rPr>
        <w:t>. 57 (5): 397-429.</w:t>
      </w:r>
    </w:p>
    <w:p w14:paraId="11188620" w14:textId="4663E967" w:rsidR="009842FA" w:rsidRPr="006C60B9" w:rsidRDefault="009842FA" w:rsidP="00186583">
      <w:pPr>
        <w:rPr>
          <w:rFonts w:ascii="Times New Roman" w:hAnsi="Times New Roman" w:cs="Times New Roman"/>
          <w:color w:val="000000" w:themeColor="text1"/>
          <w:sz w:val="20"/>
          <w:szCs w:val="20"/>
          <w:lang w:val="en-US"/>
        </w:rPr>
      </w:pPr>
      <w:r w:rsidRPr="006C60B9">
        <w:rPr>
          <w:rFonts w:ascii="Times New Roman" w:hAnsi="Times New Roman" w:cs="Times New Roman"/>
          <w:color w:val="000000" w:themeColor="text1"/>
          <w:sz w:val="20"/>
          <w:szCs w:val="20"/>
          <w:lang w:val="en-US"/>
        </w:rPr>
        <w:t xml:space="preserve">Park, C. Whan, Meryl P. Gardner, and Vinod K. Thukral. Self-Perceived Knowledge: Some Effects on Information Processing for a Choice Task. </w:t>
      </w:r>
      <w:r w:rsidRPr="006C60B9">
        <w:rPr>
          <w:rFonts w:ascii="Times New Roman" w:hAnsi="Times New Roman" w:cs="Times New Roman"/>
          <w:i/>
          <w:color w:val="000000" w:themeColor="text1"/>
          <w:sz w:val="20"/>
          <w:szCs w:val="20"/>
          <w:lang w:val="en-US"/>
        </w:rPr>
        <w:t>The American Journal of Psychology</w:t>
      </w:r>
      <w:r w:rsidRPr="006C60B9">
        <w:rPr>
          <w:rFonts w:ascii="Times New Roman" w:hAnsi="Times New Roman" w:cs="Times New Roman"/>
          <w:color w:val="000000" w:themeColor="text1"/>
          <w:sz w:val="20"/>
          <w:szCs w:val="20"/>
          <w:lang w:val="en-US"/>
        </w:rPr>
        <w:t xml:space="preserve"> 101 </w:t>
      </w:r>
      <w:r w:rsidR="00FC5951" w:rsidRPr="006C60B9">
        <w:rPr>
          <w:rFonts w:ascii="Times New Roman" w:hAnsi="Times New Roman" w:cs="Times New Roman"/>
          <w:color w:val="000000" w:themeColor="text1"/>
          <w:sz w:val="20"/>
          <w:szCs w:val="20"/>
          <w:lang w:val="en-US"/>
        </w:rPr>
        <w:t>(</w:t>
      </w:r>
      <w:r w:rsidRPr="006C60B9">
        <w:rPr>
          <w:rFonts w:ascii="Times New Roman" w:hAnsi="Times New Roman" w:cs="Times New Roman"/>
          <w:color w:val="000000" w:themeColor="text1"/>
          <w:sz w:val="20"/>
          <w:szCs w:val="20"/>
          <w:lang w:val="en-US"/>
        </w:rPr>
        <w:t>3</w:t>
      </w:r>
      <w:r w:rsidR="00FC5951" w:rsidRPr="006C60B9">
        <w:rPr>
          <w:rFonts w:ascii="Times New Roman" w:hAnsi="Times New Roman" w:cs="Times New Roman"/>
          <w:color w:val="000000" w:themeColor="text1"/>
          <w:sz w:val="20"/>
          <w:szCs w:val="20"/>
          <w:lang w:val="en-US"/>
        </w:rPr>
        <w:t>)</w:t>
      </w:r>
      <w:r w:rsidRPr="006C60B9">
        <w:rPr>
          <w:rFonts w:ascii="Times New Roman" w:hAnsi="Times New Roman" w:cs="Times New Roman"/>
          <w:color w:val="000000" w:themeColor="text1"/>
          <w:sz w:val="20"/>
          <w:szCs w:val="20"/>
          <w:lang w:val="en-US"/>
        </w:rPr>
        <w:t>: 401–24.</w:t>
      </w:r>
    </w:p>
    <w:p w14:paraId="5041559C" w14:textId="6571B67B" w:rsidR="00884E57" w:rsidRPr="006C60B9" w:rsidRDefault="00884E57" w:rsidP="00186583">
      <w:pPr>
        <w:rPr>
          <w:rFonts w:ascii="Times New Roman" w:hAnsi="Times New Roman" w:cs="Times New Roman"/>
          <w:color w:val="000000" w:themeColor="text1"/>
          <w:sz w:val="20"/>
          <w:szCs w:val="20"/>
          <w:shd w:val="clear" w:color="auto" w:fill="FFFFFF"/>
        </w:rPr>
      </w:pPr>
      <w:r w:rsidRPr="006C60B9">
        <w:rPr>
          <w:rFonts w:ascii="Times New Roman" w:hAnsi="Times New Roman" w:cs="Times New Roman"/>
          <w:color w:val="000000" w:themeColor="text1"/>
          <w:sz w:val="20"/>
          <w:szCs w:val="20"/>
          <w:shd w:val="clear" w:color="auto" w:fill="FFFFFF"/>
        </w:rPr>
        <w:t xml:space="preserve">Pascarella, E. T., Edison, M. I., Nora, A., Hagedorn, L. S., &amp; </w:t>
      </w:r>
      <w:proofErr w:type="spellStart"/>
      <w:r w:rsidRPr="006C60B9">
        <w:rPr>
          <w:rFonts w:ascii="Times New Roman" w:hAnsi="Times New Roman" w:cs="Times New Roman"/>
          <w:color w:val="000000" w:themeColor="text1"/>
          <w:sz w:val="20"/>
          <w:szCs w:val="20"/>
          <w:shd w:val="clear" w:color="auto" w:fill="FFFFFF"/>
        </w:rPr>
        <w:t>Terenzini</w:t>
      </w:r>
      <w:proofErr w:type="spellEnd"/>
      <w:r w:rsidRPr="006C60B9">
        <w:rPr>
          <w:rFonts w:ascii="Times New Roman" w:hAnsi="Times New Roman" w:cs="Times New Roman"/>
          <w:color w:val="000000" w:themeColor="text1"/>
          <w:sz w:val="20"/>
          <w:szCs w:val="20"/>
          <w:shd w:val="clear" w:color="auto" w:fill="FFFFFF"/>
        </w:rPr>
        <w:t xml:space="preserve">, P. T. 1998. Does work inhibit cognitive development during college? </w:t>
      </w:r>
      <w:r w:rsidRPr="006C60B9">
        <w:rPr>
          <w:rFonts w:ascii="Times New Roman" w:hAnsi="Times New Roman" w:cs="Times New Roman"/>
          <w:i/>
          <w:color w:val="000000" w:themeColor="text1"/>
          <w:sz w:val="20"/>
          <w:szCs w:val="20"/>
          <w:shd w:val="clear" w:color="auto" w:fill="FFFFFF"/>
        </w:rPr>
        <w:t>Educational Evaluation and Policy Analysis</w:t>
      </w:r>
      <w:r w:rsidRPr="006C60B9">
        <w:rPr>
          <w:rFonts w:ascii="Times New Roman" w:hAnsi="Times New Roman" w:cs="Times New Roman"/>
          <w:color w:val="000000" w:themeColor="text1"/>
          <w:sz w:val="20"/>
          <w:szCs w:val="20"/>
          <w:shd w:val="clear" w:color="auto" w:fill="FFFFFF"/>
        </w:rPr>
        <w:t>, 20(2), 75-93.</w:t>
      </w:r>
    </w:p>
    <w:p w14:paraId="0A598817" w14:textId="75EAEADF" w:rsidR="004D4323" w:rsidRPr="006C60B9" w:rsidRDefault="004D4323" w:rsidP="00186583">
      <w:pPr>
        <w:rPr>
          <w:rFonts w:ascii="Times New Roman" w:hAnsi="Times New Roman" w:cs="Times New Roman"/>
          <w:sz w:val="20"/>
          <w:szCs w:val="20"/>
          <w:lang w:val="en-US"/>
        </w:rPr>
      </w:pPr>
      <w:proofErr w:type="spellStart"/>
      <w:r w:rsidRPr="006C60B9">
        <w:rPr>
          <w:rFonts w:ascii="Times New Roman" w:hAnsi="Times New Roman" w:cs="Times New Roman"/>
          <w:color w:val="000000" w:themeColor="text1"/>
          <w:sz w:val="20"/>
          <w:szCs w:val="20"/>
          <w:lang w:val="en-US"/>
        </w:rPr>
        <w:t>Pasekova</w:t>
      </w:r>
      <w:proofErr w:type="spellEnd"/>
      <w:r w:rsidRPr="006C60B9">
        <w:rPr>
          <w:rFonts w:ascii="Times New Roman" w:hAnsi="Times New Roman" w:cs="Times New Roman"/>
          <w:color w:val="000000" w:themeColor="text1"/>
          <w:sz w:val="20"/>
          <w:szCs w:val="20"/>
          <w:lang w:val="en-US"/>
        </w:rPr>
        <w:t xml:space="preserve">, M, Kovarik, M., </w:t>
      </w:r>
      <w:proofErr w:type="spellStart"/>
      <w:r w:rsidRPr="006C60B9">
        <w:rPr>
          <w:rFonts w:ascii="Times New Roman" w:hAnsi="Times New Roman" w:cs="Times New Roman"/>
          <w:color w:val="000000" w:themeColor="text1"/>
          <w:sz w:val="20"/>
          <w:szCs w:val="20"/>
          <w:lang w:val="en-US"/>
        </w:rPr>
        <w:t>Redinova</w:t>
      </w:r>
      <w:proofErr w:type="spellEnd"/>
      <w:r w:rsidRPr="006C60B9">
        <w:rPr>
          <w:rFonts w:ascii="Times New Roman" w:hAnsi="Times New Roman" w:cs="Times New Roman"/>
          <w:color w:val="000000" w:themeColor="text1"/>
          <w:sz w:val="20"/>
          <w:szCs w:val="20"/>
          <w:lang w:val="en-US"/>
        </w:rPr>
        <w:t>, H</w:t>
      </w:r>
      <w:r w:rsidRPr="006C60B9">
        <w:rPr>
          <w:rStyle w:val="Emphasis"/>
          <w:rFonts w:ascii="Times New Roman" w:hAnsi="Times New Roman" w:cs="Times New Roman"/>
          <w:color w:val="000000" w:themeColor="text1"/>
          <w:sz w:val="20"/>
          <w:szCs w:val="20"/>
          <w:lang w:val="en-US"/>
        </w:rPr>
        <w:t xml:space="preserve">. 2013. </w:t>
      </w:r>
      <w:r w:rsidRPr="006C60B9">
        <w:rPr>
          <w:rFonts w:ascii="Times New Roman" w:hAnsi="Times New Roman" w:cs="Times New Roman"/>
          <w:color w:val="000000" w:themeColor="text1"/>
          <w:sz w:val="20"/>
          <w:szCs w:val="20"/>
          <w:lang w:val="en-US"/>
        </w:rPr>
        <w:t xml:space="preserve">Tax literacy among students of non-economics </w:t>
      </w:r>
      <w:r w:rsidRPr="006C60B9">
        <w:rPr>
          <w:rFonts w:ascii="Times New Roman" w:hAnsi="Times New Roman" w:cs="Times New Roman"/>
          <w:sz w:val="20"/>
          <w:szCs w:val="20"/>
          <w:lang w:val="en-US"/>
        </w:rPr>
        <w:t xml:space="preserve">faculties at Tomas Bata University. </w:t>
      </w:r>
      <w:r w:rsidRPr="006C60B9">
        <w:rPr>
          <w:rStyle w:val="Emphasis"/>
          <w:rFonts w:ascii="Times New Roman" w:hAnsi="Times New Roman" w:cs="Times New Roman"/>
          <w:sz w:val="20"/>
          <w:szCs w:val="20"/>
          <w:lang w:val="en-US"/>
        </w:rPr>
        <w:t xml:space="preserve">ECON - Journal of </w:t>
      </w:r>
      <w:r w:rsidRPr="006C60B9">
        <w:rPr>
          <w:rStyle w:val="Strong"/>
          <w:rFonts w:ascii="Times New Roman" w:hAnsi="Times New Roman" w:cs="Times New Roman"/>
          <w:b w:val="0"/>
          <w:i/>
          <w:iCs/>
          <w:sz w:val="20"/>
          <w:szCs w:val="20"/>
          <w:lang w:val="en-US"/>
        </w:rPr>
        <w:t>Economics</w:t>
      </w:r>
      <w:r w:rsidRPr="006C60B9">
        <w:rPr>
          <w:rStyle w:val="Emphasis"/>
          <w:rFonts w:ascii="Times New Roman" w:hAnsi="Times New Roman" w:cs="Times New Roman"/>
          <w:sz w:val="20"/>
          <w:szCs w:val="20"/>
          <w:lang w:val="en-US"/>
        </w:rPr>
        <w:t>, Management &amp; Business</w:t>
      </w:r>
      <w:r w:rsidRPr="006C60B9">
        <w:rPr>
          <w:rFonts w:ascii="Times New Roman" w:hAnsi="Times New Roman" w:cs="Times New Roman"/>
          <w:sz w:val="20"/>
          <w:szCs w:val="20"/>
          <w:lang w:val="en-US"/>
        </w:rPr>
        <w:t>, 23 (1): p38-48.</w:t>
      </w:r>
    </w:p>
    <w:p w14:paraId="27C6A031" w14:textId="77777777" w:rsidR="004D4323" w:rsidRPr="006C60B9" w:rsidRDefault="004D4323" w:rsidP="00186583">
      <w:pPr>
        <w:rPr>
          <w:rFonts w:ascii="Times New Roman" w:hAnsi="Times New Roman" w:cs="Times New Roman"/>
          <w:sz w:val="20"/>
          <w:szCs w:val="20"/>
          <w:lang w:val="en-US"/>
        </w:rPr>
      </w:pPr>
      <w:bookmarkStart w:id="4" w:name="Result_18"/>
      <w:proofErr w:type="spellStart"/>
      <w:r w:rsidRPr="006C60B9">
        <w:rPr>
          <w:rFonts w:ascii="Times New Roman" w:hAnsi="Times New Roman" w:cs="Times New Roman"/>
          <w:sz w:val="20"/>
          <w:szCs w:val="20"/>
          <w:lang w:val="en-US"/>
        </w:rPr>
        <w:t>Pratama</w:t>
      </w:r>
      <w:proofErr w:type="spellEnd"/>
      <w:r w:rsidRPr="006C60B9">
        <w:rPr>
          <w:rFonts w:ascii="Times New Roman" w:hAnsi="Times New Roman" w:cs="Times New Roman"/>
          <w:sz w:val="20"/>
          <w:szCs w:val="20"/>
          <w:lang w:val="en-US"/>
        </w:rPr>
        <w:t>, A. 2017. Machiavellianism, tax knowledge, and ethical perceptions of tax avoidance: survey of undergraduate students in West Java, Indonesia</w:t>
      </w:r>
      <w:bookmarkEnd w:id="4"/>
      <w:r w:rsidRPr="006C60B9">
        <w:rPr>
          <w:rFonts w:ascii="Times New Roman" w:hAnsi="Times New Roman" w:cs="Times New Roman"/>
          <w:sz w:val="20"/>
          <w:szCs w:val="20"/>
          <w:lang w:val="en-US"/>
        </w:rPr>
        <w:t xml:space="preserve">. </w:t>
      </w:r>
      <w:r w:rsidRPr="006C60B9">
        <w:rPr>
          <w:rFonts w:ascii="Times New Roman" w:hAnsi="Times New Roman" w:cs="Times New Roman"/>
          <w:i/>
          <w:sz w:val="20"/>
          <w:szCs w:val="20"/>
          <w:lang w:val="en-US"/>
        </w:rPr>
        <w:t>International Journal of Trade and Global Markets</w:t>
      </w:r>
      <w:r w:rsidRPr="006C60B9">
        <w:rPr>
          <w:rFonts w:ascii="Times New Roman" w:hAnsi="Times New Roman" w:cs="Times New Roman"/>
          <w:sz w:val="20"/>
          <w:szCs w:val="20"/>
          <w:lang w:val="en-US"/>
        </w:rPr>
        <w:t>, 10 (83): 83-90.</w:t>
      </w:r>
    </w:p>
    <w:p w14:paraId="09FC365F" w14:textId="77777777" w:rsidR="004D4323" w:rsidRPr="006C60B9" w:rsidRDefault="004D4323" w:rsidP="00186583">
      <w:pPr>
        <w:rPr>
          <w:rFonts w:ascii="Times New Roman" w:hAnsi="Times New Roman" w:cs="Times New Roman"/>
          <w:sz w:val="20"/>
          <w:szCs w:val="20"/>
          <w:lang w:val="en-US"/>
        </w:rPr>
      </w:pPr>
      <w:r w:rsidRPr="006C60B9">
        <w:rPr>
          <w:rFonts w:ascii="Times New Roman" w:hAnsi="Times New Roman" w:cs="Times New Roman"/>
          <w:sz w:val="20"/>
          <w:szCs w:val="20"/>
          <w:lang w:val="en-US"/>
        </w:rPr>
        <w:t xml:space="preserve">Rakow, K. C. 2019. Incorporating financial literacy into the accounting curriculum. </w:t>
      </w:r>
      <w:r w:rsidRPr="006C60B9">
        <w:rPr>
          <w:rFonts w:ascii="Times New Roman" w:hAnsi="Times New Roman" w:cs="Times New Roman"/>
          <w:i/>
          <w:sz w:val="20"/>
          <w:szCs w:val="20"/>
          <w:lang w:val="en-US"/>
        </w:rPr>
        <w:t>Accounting Education</w:t>
      </w:r>
      <w:r w:rsidRPr="006C60B9">
        <w:rPr>
          <w:rFonts w:ascii="Times New Roman" w:hAnsi="Times New Roman" w:cs="Times New Roman"/>
          <w:sz w:val="20"/>
          <w:szCs w:val="20"/>
          <w:lang w:val="en-US"/>
        </w:rPr>
        <w:t>. 28 (4): 384-400.</w:t>
      </w:r>
    </w:p>
    <w:p w14:paraId="4DA012E0" w14:textId="4EA190D8" w:rsidR="0061249D" w:rsidRPr="006C60B9" w:rsidRDefault="0061249D" w:rsidP="00186583">
      <w:pPr>
        <w:rPr>
          <w:rFonts w:ascii="Times New Roman" w:hAnsi="Times New Roman" w:cs="Times New Roman"/>
          <w:sz w:val="20"/>
          <w:szCs w:val="20"/>
          <w:lang w:val="en-US"/>
        </w:rPr>
      </w:pPr>
      <w:bookmarkStart w:id="5" w:name="Result_2"/>
      <w:r w:rsidRPr="006C60B9">
        <w:rPr>
          <w:rFonts w:ascii="Times New Roman" w:hAnsi="Times New Roman" w:cs="Times New Roman"/>
          <w:sz w:val="20"/>
          <w:szCs w:val="20"/>
          <w:lang w:val="en-US"/>
        </w:rPr>
        <w:t>Salisbury, M. H., Pascarella, E. T., Padgett, R. D., &amp; Blaich, C. 2012. The effects of work on leadership development among first-year college students. </w:t>
      </w:r>
      <w:r w:rsidRPr="006C60B9">
        <w:rPr>
          <w:rFonts w:ascii="Times New Roman" w:hAnsi="Times New Roman" w:cs="Times New Roman"/>
          <w:i/>
          <w:sz w:val="20"/>
          <w:szCs w:val="20"/>
          <w:lang w:val="en-US"/>
        </w:rPr>
        <w:t>Journal of College Student Development</w:t>
      </w:r>
      <w:r w:rsidRPr="006C60B9">
        <w:rPr>
          <w:rFonts w:ascii="Times New Roman" w:hAnsi="Times New Roman" w:cs="Times New Roman"/>
          <w:sz w:val="20"/>
          <w:szCs w:val="20"/>
          <w:lang w:val="en-US"/>
        </w:rPr>
        <w:t>, 53(2), 300–324.</w:t>
      </w:r>
    </w:p>
    <w:p w14:paraId="60A83D08" w14:textId="00D384F3" w:rsidR="00D24E96" w:rsidRPr="006C60B9" w:rsidRDefault="00D24E96" w:rsidP="00186583">
      <w:pPr>
        <w:rPr>
          <w:rFonts w:ascii="Times New Roman" w:hAnsi="Times New Roman" w:cs="Times New Roman"/>
          <w:bCs/>
          <w:color w:val="000000" w:themeColor="text1"/>
          <w:sz w:val="20"/>
          <w:szCs w:val="20"/>
        </w:rPr>
      </w:pPr>
      <w:r w:rsidRPr="006C60B9">
        <w:rPr>
          <w:rFonts w:ascii="Times New Roman" w:hAnsi="Times New Roman" w:cs="Times New Roman"/>
          <w:color w:val="000000" w:themeColor="text1"/>
          <w:sz w:val="20"/>
          <w:szCs w:val="20"/>
          <w:lang w:val="en-US"/>
        </w:rPr>
        <w:t xml:space="preserve">U.S. Census Bureau. 2022. </w:t>
      </w:r>
      <w:r w:rsidRPr="006C60B9">
        <w:rPr>
          <w:rFonts w:ascii="Times New Roman" w:hAnsi="Times New Roman" w:cs="Times New Roman"/>
          <w:color w:val="000000" w:themeColor="text1"/>
          <w:sz w:val="20"/>
          <w:szCs w:val="20"/>
          <w:shd w:val="clear" w:color="auto" w:fill="FFFFFF"/>
        </w:rPr>
        <w:t>2000–2002 March Current Population Survey and 2003–2021 Annual Social and Economic Supplement to the Current Population Survey</w:t>
      </w:r>
      <w:r w:rsidRPr="006C60B9">
        <w:rPr>
          <w:rFonts w:ascii="Times New Roman" w:hAnsi="Times New Roman" w:cs="Times New Roman"/>
          <w:color w:val="000000" w:themeColor="text1"/>
          <w:sz w:val="20"/>
          <w:szCs w:val="20"/>
          <w:lang w:val="en-US"/>
        </w:rPr>
        <w:t>; &lt;</w:t>
      </w:r>
      <w:r w:rsidRPr="006C60B9">
        <w:rPr>
          <w:rFonts w:ascii="Times New Roman" w:hAnsi="Times New Roman" w:cs="Times New Roman"/>
          <w:color w:val="000000" w:themeColor="text1"/>
          <w:sz w:val="20"/>
          <w:szCs w:val="20"/>
        </w:rPr>
        <w:t xml:space="preserve"> </w:t>
      </w:r>
      <w:r w:rsidRPr="006C60B9">
        <w:rPr>
          <w:rFonts w:ascii="Times New Roman" w:hAnsi="Times New Roman" w:cs="Times New Roman"/>
          <w:color w:val="000000" w:themeColor="text1"/>
          <w:sz w:val="20"/>
          <w:szCs w:val="20"/>
          <w:lang w:val="en-US"/>
        </w:rPr>
        <w:t>https://www.census.gov/library/visualizations/2022/comm/a-higher-degree.html&gt; (2 February 2023).</w:t>
      </w:r>
    </w:p>
    <w:p w14:paraId="2BBE8153" w14:textId="4BF98306" w:rsidR="004D4323" w:rsidRPr="006C60B9" w:rsidRDefault="004D4323" w:rsidP="00186583">
      <w:pPr>
        <w:rPr>
          <w:rStyle w:val="standard-view-style"/>
          <w:rFonts w:ascii="Times New Roman" w:hAnsi="Times New Roman" w:cs="Times New Roman"/>
          <w:b/>
          <w:color w:val="000000" w:themeColor="text1"/>
          <w:sz w:val="20"/>
          <w:szCs w:val="20"/>
          <w:lang w:val="en-US"/>
        </w:rPr>
      </w:pPr>
      <w:r w:rsidRPr="006C60B9">
        <w:rPr>
          <w:rStyle w:val="Strong"/>
          <w:rFonts w:ascii="Times New Roman" w:eastAsiaTheme="majorEastAsia" w:hAnsi="Times New Roman" w:cs="Times New Roman"/>
          <w:b w:val="0"/>
          <w:color w:val="000000" w:themeColor="text1"/>
          <w:sz w:val="20"/>
          <w:szCs w:val="20"/>
          <w:lang w:val="en-US"/>
        </w:rPr>
        <w:t>Williams</w:t>
      </w:r>
      <w:r w:rsidRPr="006C60B9">
        <w:rPr>
          <w:rStyle w:val="standard-view-style"/>
          <w:rFonts w:ascii="Times New Roman" w:hAnsi="Times New Roman" w:cs="Times New Roman"/>
          <w:color w:val="000000" w:themeColor="text1"/>
          <w:sz w:val="20"/>
          <w:szCs w:val="20"/>
          <w:lang w:val="en-US"/>
        </w:rPr>
        <w:t xml:space="preserve">, A. and </w:t>
      </w:r>
      <w:proofErr w:type="spellStart"/>
      <w:r w:rsidRPr="006C60B9">
        <w:rPr>
          <w:rStyle w:val="Strong"/>
          <w:rFonts w:ascii="Times New Roman" w:eastAsiaTheme="majorEastAsia" w:hAnsi="Times New Roman" w:cs="Times New Roman"/>
          <w:b w:val="0"/>
          <w:color w:val="000000" w:themeColor="text1"/>
          <w:sz w:val="20"/>
          <w:szCs w:val="20"/>
          <w:lang w:val="en-US"/>
        </w:rPr>
        <w:t>Oumlil</w:t>
      </w:r>
      <w:proofErr w:type="spellEnd"/>
      <w:r w:rsidRPr="006C60B9">
        <w:rPr>
          <w:rStyle w:val="standard-view-style"/>
          <w:rFonts w:ascii="Times New Roman" w:hAnsi="Times New Roman" w:cs="Times New Roman"/>
          <w:color w:val="000000" w:themeColor="text1"/>
          <w:sz w:val="20"/>
          <w:szCs w:val="20"/>
          <w:lang w:val="en-US"/>
        </w:rPr>
        <w:t xml:space="preserve">, B. 2015. </w:t>
      </w:r>
      <w:r w:rsidRPr="006C60B9">
        <w:rPr>
          <w:rStyle w:val="standard-view-style"/>
          <w:rFonts w:ascii="Times New Roman" w:hAnsi="Times New Roman" w:cs="Times New Roman"/>
          <w:color w:val="000000" w:themeColor="text1"/>
          <w:sz w:val="20"/>
          <w:szCs w:val="20"/>
          <w:lang w:val="en-US" w:eastAsia="zh-CN"/>
        </w:rPr>
        <w:t>College student financial capability: a framework for public policy, research and managerial action for financial exclusion prevention</w:t>
      </w:r>
      <w:bookmarkEnd w:id="5"/>
      <w:r w:rsidRPr="006C60B9">
        <w:rPr>
          <w:rStyle w:val="standard-view-style"/>
          <w:rFonts w:ascii="Times New Roman" w:hAnsi="Times New Roman" w:cs="Times New Roman"/>
          <w:color w:val="000000" w:themeColor="text1"/>
          <w:sz w:val="20"/>
          <w:szCs w:val="20"/>
          <w:lang w:val="en-US" w:eastAsia="zh-CN"/>
        </w:rPr>
        <w:t xml:space="preserve">. </w:t>
      </w:r>
      <w:r w:rsidRPr="006C60B9">
        <w:rPr>
          <w:rStyle w:val="standard-view-style"/>
          <w:rFonts w:ascii="Times New Roman" w:hAnsi="Times New Roman" w:cs="Times New Roman"/>
          <w:i/>
          <w:color w:val="000000" w:themeColor="text1"/>
          <w:sz w:val="20"/>
          <w:szCs w:val="20"/>
          <w:lang w:val="en-US"/>
        </w:rPr>
        <w:t>International Journal of Bank Marketing</w:t>
      </w:r>
      <w:r w:rsidRPr="006C60B9">
        <w:rPr>
          <w:rStyle w:val="standard-view-style"/>
          <w:rFonts w:ascii="Times New Roman" w:hAnsi="Times New Roman" w:cs="Times New Roman"/>
          <w:color w:val="000000" w:themeColor="text1"/>
          <w:sz w:val="20"/>
          <w:szCs w:val="20"/>
          <w:lang w:val="en-US"/>
        </w:rPr>
        <w:t>, 33 (5): 637-653.</w:t>
      </w:r>
    </w:p>
    <w:p w14:paraId="1E17D6DD" w14:textId="37B3E1A5" w:rsidR="00F00B4C" w:rsidRDefault="004D4323" w:rsidP="00186583">
      <w:pPr>
        <w:rPr>
          <w:rFonts w:ascii="Times New Roman" w:hAnsi="Times New Roman" w:cs="Times New Roman"/>
          <w:sz w:val="20"/>
          <w:szCs w:val="20"/>
          <w:lang w:val="en-US"/>
        </w:rPr>
      </w:pPr>
      <w:r w:rsidRPr="006C60B9">
        <w:rPr>
          <w:rFonts w:ascii="Times New Roman" w:hAnsi="Times New Roman" w:cs="Times New Roman"/>
          <w:sz w:val="20"/>
          <w:szCs w:val="20"/>
          <w:lang w:val="en-US"/>
        </w:rPr>
        <w:t xml:space="preserve">Woodyard, A. and Robb, C. 2016. Consideration of financial satisfaction: what consumers know, </w:t>
      </w:r>
      <w:proofErr w:type="gramStart"/>
      <w:r w:rsidRPr="006C60B9">
        <w:rPr>
          <w:rFonts w:ascii="Times New Roman" w:hAnsi="Times New Roman" w:cs="Times New Roman"/>
          <w:sz w:val="20"/>
          <w:szCs w:val="20"/>
          <w:lang w:val="en-US"/>
        </w:rPr>
        <w:t>fell</w:t>
      </w:r>
      <w:proofErr w:type="gramEnd"/>
      <w:r w:rsidRPr="006C60B9">
        <w:rPr>
          <w:rFonts w:ascii="Times New Roman" w:hAnsi="Times New Roman" w:cs="Times New Roman"/>
          <w:sz w:val="20"/>
          <w:szCs w:val="20"/>
          <w:lang w:val="en-US"/>
        </w:rPr>
        <w:t xml:space="preserve"> and do from a financial perspective. </w:t>
      </w:r>
      <w:r w:rsidRPr="006C60B9">
        <w:rPr>
          <w:rFonts w:ascii="Times New Roman" w:hAnsi="Times New Roman" w:cs="Times New Roman"/>
          <w:i/>
          <w:sz w:val="20"/>
          <w:szCs w:val="20"/>
          <w:lang w:val="en-US"/>
        </w:rPr>
        <w:t>Journal of Financial Therapy</w:t>
      </w:r>
      <w:r w:rsidRPr="006C60B9">
        <w:rPr>
          <w:rFonts w:ascii="Times New Roman" w:hAnsi="Times New Roman" w:cs="Times New Roman"/>
          <w:sz w:val="20"/>
          <w:szCs w:val="20"/>
          <w:lang w:val="en-US"/>
        </w:rPr>
        <w:t>, 7 (2): 41-61.</w:t>
      </w:r>
      <w:r w:rsidR="00062BF4">
        <w:rPr>
          <w:rFonts w:ascii="Times New Roman" w:hAnsi="Times New Roman" w:cs="Times New Roman"/>
          <w:sz w:val="20"/>
          <w:szCs w:val="20"/>
          <w:lang w:val="en-US"/>
        </w:rPr>
        <w:t xml:space="preserve">  </w:t>
      </w:r>
    </w:p>
    <w:p w14:paraId="715B3896" w14:textId="77777777" w:rsidR="00062BF4" w:rsidRPr="006C60B9" w:rsidRDefault="00062BF4" w:rsidP="00186583">
      <w:pPr>
        <w:rPr>
          <w:rFonts w:ascii="Times New Roman" w:hAnsi="Times New Roman" w:cs="Times New Roman"/>
          <w:sz w:val="20"/>
          <w:szCs w:val="20"/>
          <w:lang w:val="en-US"/>
        </w:rPr>
      </w:pPr>
    </w:p>
    <w:p w14:paraId="1B63F7F7" w14:textId="77777777" w:rsidR="00127AD3" w:rsidRPr="006C60B9" w:rsidRDefault="00127AD3" w:rsidP="00186583">
      <w:pPr>
        <w:rPr>
          <w:rFonts w:ascii="Times New Roman" w:hAnsi="Times New Roman" w:cs="Times New Roman"/>
          <w:sz w:val="20"/>
          <w:szCs w:val="20"/>
          <w:lang w:val="en-US"/>
        </w:rPr>
        <w:sectPr w:rsidR="00127AD3" w:rsidRPr="006C60B9" w:rsidSect="00CA4B1F">
          <w:headerReference w:type="even" r:id="rId9"/>
          <w:headerReference w:type="default" r:id="rId10"/>
          <w:footerReference w:type="even" r:id="rId11"/>
          <w:footerReference w:type="default" r:id="rId12"/>
          <w:headerReference w:type="first" r:id="rId13"/>
          <w:pgSz w:w="12240" w:h="15840"/>
          <w:pgMar w:top="1440" w:right="1440" w:bottom="1440" w:left="1440" w:header="1440" w:footer="1440" w:gutter="0"/>
          <w:pgNumType w:start="409"/>
          <w:cols w:space="720"/>
          <w:titlePg/>
          <w:docGrid w:linePitch="360"/>
        </w:sectPr>
      </w:pPr>
    </w:p>
    <w:p w14:paraId="112E2EC3" w14:textId="77777777" w:rsidR="00B67B6F" w:rsidRPr="006C60B9" w:rsidRDefault="00B67B6F" w:rsidP="00186583">
      <w:pPr>
        <w:rPr>
          <w:rFonts w:ascii="Times New Roman" w:hAnsi="Times New Roman" w:cs="Times New Roman"/>
          <w:sz w:val="20"/>
          <w:szCs w:val="20"/>
          <w:lang w:val="en-US"/>
        </w:rPr>
      </w:pPr>
      <w:r w:rsidRPr="006C60B9">
        <w:rPr>
          <w:rFonts w:ascii="Times New Roman" w:hAnsi="Times New Roman" w:cs="Times New Roman"/>
          <w:b/>
          <w:sz w:val="20"/>
          <w:szCs w:val="20"/>
          <w:lang w:val="en-US"/>
        </w:rPr>
        <w:lastRenderedPageBreak/>
        <w:t>Chart 1 Demographics of participants</w:t>
      </w:r>
    </w:p>
    <w:p w14:paraId="7F8F833A" w14:textId="77777777" w:rsidR="00B67B6F" w:rsidRPr="006C60B9" w:rsidRDefault="00B67B6F" w:rsidP="006C60B9">
      <w:pPr>
        <w:rPr>
          <w:rFonts w:ascii="Times New Roman" w:hAnsi="Times New Roman" w:cs="Times New Roman"/>
          <w:b/>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742"/>
      </w:tblGrid>
      <w:tr w:rsidR="00B67B6F" w:rsidRPr="006C60B9" w14:paraId="7CCCF620" w14:textId="77777777" w:rsidTr="00263C50">
        <w:trPr>
          <w:trHeight w:val="2466"/>
        </w:trPr>
        <w:tc>
          <w:tcPr>
            <w:tcW w:w="4618" w:type="dxa"/>
          </w:tcPr>
          <w:p w14:paraId="3FAA36F7" w14:textId="1BDB70ED" w:rsidR="00B67B6F" w:rsidRPr="006C60B9" w:rsidRDefault="008210FC" w:rsidP="00186583">
            <w:pPr>
              <w:jc w:val="center"/>
              <w:rPr>
                <w:rFonts w:ascii="Times New Roman" w:hAnsi="Times New Roman" w:cs="Times New Roman"/>
                <w:sz w:val="20"/>
                <w:szCs w:val="20"/>
                <w:lang w:val="en-US"/>
              </w:rPr>
            </w:pPr>
            <w:r w:rsidRPr="006C60B9">
              <w:rPr>
                <w:rFonts w:ascii="Times New Roman" w:hAnsi="Times New Roman" w:cs="Times New Roman"/>
                <w:noProof/>
                <w:sz w:val="20"/>
                <w:szCs w:val="20"/>
                <w:lang w:val="en-US" w:eastAsia="zh-TW"/>
              </w:rPr>
              <w:drawing>
                <wp:inline distT="0" distB="0" distL="0" distR="0" wp14:anchorId="4C880060" wp14:editId="4632589D">
                  <wp:extent cx="2514600" cy="1567543"/>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742" w:type="dxa"/>
          </w:tcPr>
          <w:p w14:paraId="000B74FB" w14:textId="69BA59EE" w:rsidR="00B67B6F" w:rsidRPr="006C60B9" w:rsidRDefault="008210FC" w:rsidP="00186583">
            <w:pPr>
              <w:jc w:val="center"/>
              <w:rPr>
                <w:rFonts w:ascii="Times New Roman" w:hAnsi="Times New Roman" w:cs="Times New Roman"/>
                <w:sz w:val="20"/>
                <w:szCs w:val="20"/>
                <w:lang w:val="en-US"/>
              </w:rPr>
            </w:pPr>
            <w:r w:rsidRPr="006C60B9">
              <w:rPr>
                <w:rFonts w:ascii="Times New Roman" w:hAnsi="Times New Roman" w:cs="Times New Roman"/>
                <w:noProof/>
                <w:sz w:val="20"/>
                <w:szCs w:val="20"/>
                <w:lang w:val="en-US" w:eastAsia="zh-TW"/>
              </w:rPr>
              <w:drawing>
                <wp:inline distT="0" distB="0" distL="0" distR="0" wp14:anchorId="2D18DFE5" wp14:editId="2906E51F">
                  <wp:extent cx="2272352" cy="1521725"/>
                  <wp:effectExtent l="0" t="0" r="1270" b="2540"/>
                  <wp:docPr id="5" name="Chart 5">
                    <a:extLst xmlns:a="http://schemas.openxmlformats.org/drawingml/2006/main">
                      <a:ext uri="{FF2B5EF4-FFF2-40B4-BE49-F238E27FC236}">
                        <a16:creationId xmlns:a16="http://schemas.microsoft.com/office/drawing/2014/main" id="{AE0B2F2F-2EB0-CF4C-B56F-7201ACDE60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936D17" w14:textId="77777777" w:rsidR="00B67B6F" w:rsidRPr="006C60B9" w:rsidRDefault="00B67B6F" w:rsidP="00186583">
            <w:pPr>
              <w:jc w:val="center"/>
              <w:rPr>
                <w:rFonts w:ascii="Times New Roman" w:hAnsi="Times New Roman" w:cs="Times New Roman"/>
                <w:sz w:val="20"/>
                <w:szCs w:val="20"/>
                <w:lang w:val="en-US"/>
              </w:rPr>
            </w:pPr>
          </w:p>
        </w:tc>
      </w:tr>
      <w:tr w:rsidR="00B67B6F" w:rsidRPr="006C60B9" w14:paraId="68E69B3E" w14:textId="77777777" w:rsidTr="00263C50">
        <w:tc>
          <w:tcPr>
            <w:tcW w:w="4618" w:type="dxa"/>
          </w:tcPr>
          <w:p w14:paraId="5E0B313E" w14:textId="0EF215D8" w:rsidR="00B67B6F" w:rsidRPr="006C60B9" w:rsidRDefault="008210FC" w:rsidP="00186583">
            <w:pPr>
              <w:jc w:val="center"/>
              <w:rPr>
                <w:rFonts w:ascii="Times New Roman" w:hAnsi="Times New Roman" w:cs="Times New Roman"/>
                <w:sz w:val="20"/>
                <w:szCs w:val="20"/>
                <w:lang w:val="en-US"/>
              </w:rPr>
            </w:pPr>
            <w:r w:rsidRPr="006C60B9">
              <w:rPr>
                <w:rFonts w:ascii="Times New Roman" w:hAnsi="Times New Roman" w:cs="Times New Roman"/>
                <w:noProof/>
                <w:sz w:val="20"/>
                <w:szCs w:val="20"/>
                <w:lang w:val="en-US" w:eastAsia="zh-TW"/>
              </w:rPr>
              <w:drawing>
                <wp:inline distT="0" distB="0" distL="0" distR="0" wp14:anchorId="783CA647" wp14:editId="112811AC">
                  <wp:extent cx="2878667" cy="1811867"/>
                  <wp:effectExtent l="0" t="0" r="4445" b="44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742" w:type="dxa"/>
          </w:tcPr>
          <w:p w14:paraId="6E6D0F08" w14:textId="47A4001F" w:rsidR="00B67B6F" w:rsidRPr="006C60B9" w:rsidRDefault="008210FC" w:rsidP="00186583">
            <w:pPr>
              <w:jc w:val="center"/>
              <w:rPr>
                <w:rFonts w:ascii="Times New Roman" w:hAnsi="Times New Roman" w:cs="Times New Roman"/>
                <w:sz w:val="20"/>
                <w:szCs w:val="20"/>
                <w:lang w:val="en-US"/>
              </w:rPr>
            </w:pPr>
            <w:r w:rsidRPr="006C60B9">
              <w:rPr>
                <w:rFonts w:ascii="Times New Roman" w:hAnsi="Times New Roman" w:cs="Times New Roman"/>
                <w:noProof/>
                <w:sz w:val="20"/>
                <w:szCs w:val="20"/>
                <w:lang w:val="en-US" w:eastAsia="zh-TW"/>
              </w:rPr>
              <w:drawing>
                <wp:inline distT="0" distB="0" distL="0" distR="0" wp14:anchorId="79A58DB5" wp14:editId="11BF5F1D">
                  <wp:extent cx="2938961" cy="1950720"/>
                  <wp:effectExtent l="25400" t="0" r="0" b="5080"/>
                  <wp:docPr id="9" name="Chart 9">
                    <a:extLst xmlns:a="http://schemas.openxmlformats.org/drawingml/2006/main">
                      <a:ext uri="{FF2B5EF4-FFF2-40B4-BE49-F238E27FC236}">
                        <a16:creationId xmlns:a16="http://schemas.microsoft.com/office/drawing/2014/main" id="{5C7AB56E-3F63-3C46-BF38-6BE8AB008D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B67B6F" w:rsidRPr="006C60B9" w14:paraId="4BDBC0AD" w14:textId="77777777" w:rsidTr="00263C50">
        <w:tc>
          <w:tcPr>
            <w:tcW w:w="4618" w:type="dxa"/>
          </w:tcPr>
          <w:p w14:paraId="71DE84BE" w14:textId="77777777" w:rsidR="00B67B6F" w:rsidRPr="006C60B9" w:rsidRDefault="00B67B6F" w:rsidP="00186583">
            <w:pPr>
              <w:rPr>
                <w:rFonts w:ascii="Times New Roman" w:hAnsi="Times New Roman" w:cs="Times New Roman"/>
                <w:sz w:val="20"/>
                <w:szCs w:val="20"/>
                <w:lang w:val="en-US" w:eastAsia="zh-TW"/>
              </w:rPr>
            </w:pPr>
          </w:p>
        </w:tc>
        <w:tc>
          <w:tcPr>
            <w:tcW w:w="4742" w:type="dxa"/>
          </w:tcPr>
          <w:p w14:paraId="00976A75" w14:textId="77777777" w:rsidR="00B67B6F" w:rsidRPr="006C60B9" w:rsidRDefault="00B67B6F" w:rsidP="00186583">
            <w:pPr>
              <w:rPr>
                <w:rFonts w:ascii="Times New Roman" w:hAnsi="Times New Roman" w:cs="Times New Roman"/>
                <w:sz w:val="20"/>
                <w:szCs w:val="20"/>
                <w:lang w:val="en-US" w:eastAsia="zh-TW"/>
              </w:rPr>
            </w:pPr>
          </w:p>
        </w:tc>
      </w:tr>
      <w:tr w:rsidR="00B67B6F" w:rsidRPr="006C60B9" w14:paraId="50381D04" w14:textId="77777777" w:rsidTr="00B67B6F">
        <w:trPr>
          <w:trHeight w:val="2637"/>
        </w:trPr>
        <w:tc>
          <w:tcPr>
            <w:tcW w:w="9360" w:type="dxa"/>
            <w:gridSpan w:val="2"/>
          </w:tcPr>
          <w:p w14:paraId="487B9333" w14:textId="7D3C60B9" w:rsidR="00B67B6F" w:rsidRPr="006C60B9" w:rsidRDefault="008210FC" w:rsidP="00186583">
            <w:pPr>
              <w:jc w:val="center"/>
              <w:rPr>
                <w:rFonts w:ascii="Times New Roman" w:hAnsi="Times New Roman" w:cs="Times New Roman"/>
                <w:sz w:val="20"/>
                <w:szCs w:val="20"/>
                <w:lang w:val="en-US"/>
              </w:rPr>
            </w:pPr>
            <w:r w:rsidRPr="006C60B9">
              <w:rPr>
                <w:rFonts w:ascii="Times New Roman" w:hAnsi="Times New Roman" w:cs="Times New Roman"/>
                <w:noProof/>
                <w:sz w:val="20"/>
                <w:szCs w:val="20"/>
                <w:lang w:val="en-US" w:eastAsia="zh-TW"/>
              </w:rPr>
              <w:drawing>
                <wp:inline distT="0" distB="0" distL="0" distR="0" wp14:anchorId="10579DE9" wp14:editId="52B6F0C2">
                  <wp:extent cx="4114800" cy="1616529"/>
                  <wp:effectExtent l="0" t="0" r="0" b="0"/>
                  <wp:docPr id="10" name="Chart 10">
                    <a:extLst xmlns:a="http://schemas.openxmlformats.org/drawingml/2006/main">
                      <a:ext uri="{FF2B5EF4-FFF2-40B4-BE49-F238E27FC236}">
                        <a16:creationId xmlns:a16="http://schemas.microsoft.com/office/drawing/2014/main" id="{9777F83D-ECBB-C14D-B784-EC33F1D603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CAF57A" w14:textId="77777777" w:rsidR="00B67B6F" w:rsidRPr="006C60B9" w:rsidRDefault="00B67B6F" w:rsidP="00186583">
            <w:pPr>
              <w:jc w:val="center"/>
              <w:rPr>
                <w:rFonts w:ascii="Times New Roman" w:hAnsi="Times New Roman" w:cs="Times New Roman"/>
                <w:sz w:val="20"/>
                <w:szCs w:val="20"/>
                <w:lang w:val="en-US"/>
              </w:rPr>
            </w:pPr>
          </w:p>
        </w:tc>
      </w:tr>
      <w:tr w:rsidR="00B67B6F" w:rsidRPr="006C60B9" w14:paraId="79E68207" w14:textId="77777777" w:rsidTr="00C53AAC">
        <w:tc>
          <w:tcPr>
            <w:tcW w:w="9360" w:type="dxa"/>
            <w:gridSpan w:val="2"/>
          </w:tcPr>
          <w:p w14:paraId="13BDF82D" w14:textId="77777777" w:rsidR="00B67B6F" w:rsidRPr="006C60B9" w:rsidRDefault="00B67B6F" w:rsidP="00186583">
            <w:pPr>
              <w:jc w:val="center"/>
              <w:rPr>
                <w:rFonts w:ascii="Times New Roman" w:hAnsi="Times New Roman" w:cs="Times New Roman"/>
                <w:sz w:val="20"/>
                <w:szCs w:val="20"/>
                <w:lang w:val="en-US"/>
              </w:rPr>
            </w:pPr>
            <w:r w:rsidRPr="006C60B9">
              <w:rPr>
                <w:rFonts w:ascii="Times New Roman" w:hAnsi="Times New Roman" w:cs="Times New Roman"/>
                <w:noProof/>
                <w:sz w:val="20"/>
                <w:szCs w:val="20"/>
                <w:lang w:val="en-US" w:eastAsia="zh-TW"/>
              </w:rPr>
              <w:drawing>
                <wp:inline distT="0" distB="0" distL="0" distR="0" wp14:anchorId="5526533B" wp14:editId="5970F431">
                  <wp:extent cx="5267528" cy="1974715"/>
                  <wp:effectExtent l="0" t="0" r="3175" b="0"/>
                  <wp:docPr id="14" name="Chart 14">
                    <a:extLst xmlns:a="http://schemas.openxmlformats.org/drawingml/2006/main">
                      <a:ext uri="{FF2B5EF4-FFF2-40B4-BE49-F238E27FC236}">
                        <a16:creationId xmlns:a16="http://schemas.microsoft.com/office/drawing/2014/main" id="{FA7CB187-BCD5-5448-854E-E175FEF00D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59CE551D" w14:textId="77777777" w:rsidR="00263C50" w:rsidRDefault="00263C50" w:rsidP="00263C50">
      <w:pPr>
        <w:rPr>
          <w:rFonts w:ascii="Times New Roman" w:hAnsi="Times New Roman" w:cs="Times New Roman"/>
          <w:bCs/>
          <w:sz w:val="20"/>
          <w:szCs w:val="20"/>
          <w:lang w:val="en-US"/>
        </w:rPr>
      </w:pPr>
    </w:p>
    <w:p w14:paraId="083B260F" w14:textId="77777777" w:rsidR="00263C50" w:rsidRPr="006C60B9" w:rsidRDefault="00263C50" w:rsidP="00263C50">
      <w:pPr>
        <w:rPr>
          <w:rFonts w:ascii="Times New Roman" w:hAnsi="Times New Roman" w:cs="Times New Roman"/>
          <w:bCs/>
          <w:sz w:val="20"/>
          <w:szCs w:val="20"/>
          <w:lang w:val="en-US"/>
        </w:rPr>
        <w:sectPr w:rsidR="00263C50" w:rsidRPr="006C60B9" w:rsidSect="00CA4B1F">
          <w:pgSz w:w="12240" w:h="15840"/>
          <w:pgMar w:top="1440" w:right="1440" w:bottom="1440" w:left="1440" w:header="720" w:footer="720" w:gutter="0"/>
          <w:cols w:space="720"/>
          <w:docGrid w:linePitch="360"/>
        </w:sectPr>
      </w:pPr>
    </w:p>
    <w:p w14:paraId="512A35AB" w14:textId="4C706A2D" w:rsidR="00B67B6F" w:rsidRPr="006C60B9" w:rsidRDefault="00B67B6F" w:rsidP="00186583">
      <w:pPr>
        <w:rPr>
          <w:rFonts w:ascii="Times New Roman" w:hAnsi="Times New Roman" w:cs="Times New Roman"/>
          <w:b/>
          <w:sz w:val="20"/>
          <w:szCs w:val="20"/>
          <w:lang w:val="en-US"/>
        </w:rPr>
      </w:pPr>
      <w:r w:rsidRPr="006C60B9">
        <w:rPr>
          <w:rFonts w:ascii="Times New Roman" w:hAnsi="Times New Roman" w:cs="Times New Roman"/>
          <w:b/>
          <w:sz w:val="20"/>
          <w:szCs w:val="20"/>
          <w:lang w:val="en-US"/>
        </w:rPr>
        <w:lastRenderedPageBreak/>
        <w:t>Chart 2 Accounting/tax education background</w:t>
      </w:r>
    </w:p>
    <w:p w14:paraId="3EE9931A" w14:textId="77777777" w:rsidR="00B67B6F" w:rsidRPr="006C60B9" w:rsidRDefault="00B67B6F" w:rsidP="006C60B9">
      <w:pPr>
        <w:rPr>
          <w:rFonts w:ascii="Times New Roman" w:hAnsi="Times New Roman" w:cs="Times New Roman"/>
          <w:b/>
          <w:sz w:val="20"/>
          <w:szCs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661"/>
      </w:tblGrid>
      <w:tr w:rsidR="00B67B6F" w:rsidRPr="006C60B9" w14:paraId="7A5CBDBE" w14:textId="77777777" w:rsidTr="00C53AAC">
        <w:trPr>
          <w:jc w:val="center"/>
        </w:trPr>
        <w:tc>
          <w:tcPr>
            <w:tcW w:w="4826" w:type="dxa"/>
          </w:tcPr>
          <w:p w14:paraId="21BD1833" w14:textId="2CE48D99" w:rsidR="00B67B6F" w:rsidRPr="006C60B9" w:rsidRDefault="008210FC" w:rsidP="00186583">
            <w:pPr>
              <w:rPr>
                <w:rFonts w:ascii="Times New Roman" w:hAnsi="Times New Roman" w:cs="Times New Roman"/>
                <w:sz w:val="20"/>
                <w:szCs w:val="20"/>
                <w:lang w:val="en-US" w:eastAsia="zh-TW"/>
              </w:rPr>
            </w:pPr>
            <w:r w:rsidRPr="006C60B9">
              <w:rPr>
                <w:rFonts w:ascii="Times New Roman" w:hAnsi="Times New Roman" w:cs="Times New Roman"/>
                <w:noProof/>
                <w:sz w:val="20"/>
                <w:szCs w:val="20"/>
                <w:lang w:val="en-US" w:eastAsia="zh-TW"/>
              </w:rPr>
              <w:drawing>
                <wp:inline distT="0" distB="0" distL="0" distR="0" wp14:anchorId="5718F1A9" wp14:editId="1312928B">
                  <wp:extent cx="2981325" cy="1809750"/>
                  <wp:effectExtent l="0" t="0" r="317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534" w:type="dxa"/>
          </w:tcPr>
          <w:p w14:paraId="6E562881" w14:textId="4723AAEE" w:rsidR="00B67B6F" w:rsidRPr="006C60B9" w:rsidRDefault="008210FC" w:rsidP="00186583">
            <w:pPr>
              <w:rPr>
                <w:rFonts w:ascii="Times New Roman" w:hAnsi="Times New Roman" w:cs="Times New Roman"/>
                <w:sz w:val="20"/>
                <w:szCs w:val="20"/>
                <w:lang w:val="en-US" w:eastAsia="zh-TW"/>
              </w:rPr>
            </w:pPr>
            <w:r w:rsidRPr="006C60B9">
              <w:rPr>
                <w:rFonts w:ascii="Times New Roman" w:hAnsi="Times New Roman" w:cs="Times New Roman"/>
                <w:noProof/>
                <w:sz w:val="20"/>
                <w:szCs w:val="20"/>
                <w:lang w:val="en-US" w:eastAsia="zh-TW"/>
                <w14:ligatures w14:val="standardContextual"/>
              </w:rPr>
              <w:drawing>
                <wp:inline distT="0" distB="0" distL="0" distR="0" wp14:anchorId="3E613704" wp14:editId="7E085589">
                  <wp:extent cx="2981325" cy="1809750"/>
                  <wp:effectExtent l="0" t="0" r="317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B67B6F" w:rsidRPr="006C60B9" w14:paraId="536429F0" w14:textId="77777777" w:rsidTr="00C53AAC">
        <w:trPr>
          <w:jc w:val="center"/>
        </w:trPr>
        <w:tc>
          <w:tcPr>
            <w:tcW w:w="4826" w:type="dxa"/>
          </w:tcPr>
          <w:p w14:paraId="52E81CFB" w14:textId="1CC7816A" w:rsidR="00B67B6F" w:rsidRPr="006C60B9" w:rsidRDefault="008210FC" w:rsidP="00186583">
            <w:pPr>
              <w:rPr>
                <w:rFonts w:ascii="Times New Roman" w:hAnsi="Times New Roman" w:cs="Times New Roman"/>
                <w:b/>
                <w:sz w:val="20"/>
                <w:szCs w:val="20"/>
                <w:lang w:val="en-US"/>
              </w:rPr>
            </w:pPr>
            <w:r w:rsidRPr="006C60B9">
              <w:rPr>
                <w:rFonts w:ascii="Times New Roman" w:hAnsi="Times New Roman" w:cs="Times New Roman"/>
                <w:noProof/>
                <w:sz w:val="20"/>
                <w:szCs w:val="20"/>
                <w:lang w:val="en-US" w:eastAsia="zh-TW"/>
              </w:rPr>
              <w:drawing>
                <wp:inline distT="0" distB="0" distL="0" distR="0" wp14:anchorId="2CBC6FB0" wp14:editId="447A8B8C">
                  <wp:extent cx="2980055" cy="2000250"/>
                  <wp:effectExtent l="25400" t="0" r="444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534" w:type="dxa"/>
          </w:tcPr>
          <w:p w14:paraId="2DACA5DF" w14:textId="557CF5B8" w:rsidR="00B67B6F" w:rsidRPr="006C60B9" w:rsidRDefault="00B67B6F" w:rsidP="00186583">
            <w:pPr>
              <w:rPr>
                <w:rFonts w:ascii="Times New Roman" w:hAnsi="Times New Roman" w:cs="Times New Roman"/>
                <w:b/>
                <w:sz w:val="20"/>
                <w:szCs w:val="20"/>
                <w:lang w:val="en-US"/>
              </w:rPr>
            </w:pPr>
          </w:p>
        </w:tc>
      </w:tr>
    </w:tbl>
    <w:p w14:paraId="5BC7140A" w14:textId="77777777" w:rsidR="00263C50" w:rsidRDefault="00263C50" w:rsidP="006C60B9">
      <w:pPr>
        <w:rPr>
          <w:rFonts w:ascii="Times New Roman" w:hAnsi="Times New Roman" w:cs="Times New Roman"/>
          <w:bCs/>
          <w:sz w:val="20"/>
          <w:szCs w:val="20"/>
          <w:lang w:val="en-US"/>
        </w:rPr>
      </w:pPr>
    </w:p>
    <w:p w14:paraId="02184C8C" w14:textId="77777777" w:rsidR="00263C50" w:rsidRPr="006C60B9" w:rsidRDefault="00263C50" w:rsidP="006C60B9">
      <w:pPr>
        <w:rPr>
          <w:rFonts w:ascii="Times New Roman" w:hAnsi="Times New Roman" w:cs="Times New Roman"/>
          <w:bCs/>
          <w:sz w:val="20"/>
          <w:szCs w:val="20"/>
          <w:lang w:val="en-US"/>
        </w:rPr>
        <w:sectPr w:rsidR="00263C50" w:rsidRPr="006C60B9" w:rsidSect="00CA4B1F">
          <w:pgSz w:w="12240" w:h="15840"/>
          <w:pgMar w:top="1440" w:right="1440" w:bottom="1440" w:left="1440" w:header="720" w:footer="720" w:gutter="0"/>
          <w:cols w:space="720"/>
          <w:docGrid w:linePitch="360"/>
        </w:sectPr>
      </w:pPr>
    </w:p>
    <w:p w14:paraId="02F8863E" w14:textId="7800BE7C" w:rsidR="00127AD3" w:rsidRPr="006C60B9" w:rsidRDefault="00127AD3" w:rsidP="00186583">
      <w:pPr>
        <w:rPr>
          <w:rFonts w:ascii="Times New Roman" w:hAnsi="Times New Roman" w:cs="Times New Roman"/>
          <w:sz w:val="20"/>
          <w:szCs w:val="20"/>
          <w:lang w:val="en-US"/>
        </w:rPr>
      </w:pPr>
      <w:r w:rsidRPr="006C60B9">
        <w:rPr>
          <w:rFonts w:ascii="Times New Roman" w:hAnsi="Times New Roman" w:cs="Times New Roman"/>
          <w:b/>
          <w:sz w:val="20"/>
          <w:szCs w:val="20"/>
          <w:lang w:val="en-US"/>
        </w:rPr>
        <w:lastRenderedPageBreak/>
        <w:t>Table 1 Financial literacy questions and response statistics</w:t>
      </w:r>
    </w:p>
    <w:p w14:paraId="0A4BBD19" w14:textId="77777777" w:rsidR="00127AD3" w:rsidRPr="006C60B9" w:rsidRDefault="00127AD3" w:rsidP="006C60B9">
      <w:pPr>
        <w:rPr>
          <w:rFonts w:ascii="Times New Roman" w:hAnsi="Times New Roman" w:cs="Times New Roman"/>
          <w:b/>
          <w:sz w:val="20"/>
          <w:szCs w:val="20"/>
          <w:lang w:val="en-US"/>
        </w:rPr>
      </w:pPr>
    </w:p>
    <w:tbl>
      <w:tblPr>
        <w:tblW w:w="9200" w:type="dxa"/>
        <w:tblInd w:w="93" w:type="dxa"/>
        <w:tblLook w:val="04A0" w:firstRow="1" w:lastRow="0" w:firstColumn="1" w:lastColumn="0" w:noHBand="0" w:noVBand="1"/>
      </w:tblPr>
      <w:tblGrid>
        <w:gridCol w:w="4019"/>
        <w:gridCol w:w="1427"/>
        <w:gridCol w:w="1494"/>
        <w:gridCol w:w="1116"/>
        <w:gridCol w:w="1144"/>
      </w:tblGrid>
      <w:tr w:rsidR="008210FC" w:rsidRPr="006C60B9" w14:paraId="1153B2F3" w14:textId="77777777" w:rsidTr="005668E0">
        <w:trPr>
          <w:trHeight w:val="890"/>
        </w:trPr>
        <w:tc>
          <w:tcPr>
            <w:tcW w:w="4019"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05FA2CD0" w14:textId="77777777" w:rsidR="008210FC" w:rsidRPr="006C60B9" w:rsidRDefault="008210FC" w:rsidP="00186583">
            <w:pPr>
              <w:rPr>
                <w:rFonts w:ascii="Times New Roman" w:eastAsia="Times New Roman" w:hAnsi="Times New Roman" w:cs="Times New Roman"/>
                <w:b/>
                <w:bCs/>
                <w:color w:val="000000"/>
                <w:sz w:val="20"/>
                <w:szCs w:val="20"/>
                <w:lang w:val="en-US"/>
              </w:rPr>
            </w:pPr>
            <w:r w:rsidRPr="006C60B9">
              <w:rPr>
                <w:rFonts w:ascii="Times New Roman" w:eastAsia="Times New Roman" w:hAnsi="Times New Roman" w:cs="Times New Roman"/>
                <w:b/>
                <w:bCs/>
                <w:color w:val="000000"/>
                <w:sz w:val="20"/>
                <w:szCs w:val="20"/>
                <w:lang w:val="en-US"/>
              </w:rPr>
              <w:t>Financial Literacy Questions (FQs)</w:t>
            </w:r>
          </w:p>
        </w:tc>
        <w:tc>
          <w:tcPr>
            <w:tcW w:w="1427"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6995ECB8" w14:textId="77777777" w:rsidR="008210FC" w:rsidRPr="006C60B9" w:rsidRDefault="008210FC" w:rsidP="00186583">
            <w:pPr>
              <w:jc w:val="center"/>
              <w:rPr>
                <w:rFonts w:ascii="Times New Roman" w:eastAsia="Times New Roman" w:hAnsi="Times New Roman" w:cs="Times New Roman"/>
                <w:b/>
                <w:bCs/>
                <w:color w:val="000000"/>
                <w:sz w:val="20"/>
                <w:szCs w:val="20"/>
                <w:lang w:val="en-US"/>
              </w:rPr>
            </w:pPr>
            <w:r w:rsidRPr="006C60B9">
              <w:rPr>
                <w:rFonts w:ascii="Times New Roman" w:eastAsia="Times New Roman" w:hAnsi="Times New Roman" w:cs="Times New Roman"/>
                <w:b/>
                <w:bCs/>
                <w:color w:val="000000"/>
                <w:sz w:val="20"/>
                <w:szCs w:val="20"/>
                <w:lang w:val="en-US"/>
              </w:rPr>
              <w:t>Number Completed</w:t>
            </w:r>
          </w:p>
        </w:tc>
        <w:tc>
          <w:tcPr>
            <w:tcW w:w="149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37A741C9" w14:textId="77777777" w:rsidR="008210FC" w:rsidRPr="006C60B9" w:rsidRDefault="008210FC" w:rsidP="00186583">
            <w:pPr>
              <w:jc w:val="center"/>
              <w:rPr>
                <w:rFonts w:ascii="Times New Roman" w:eastAsia="Times New Roman" w:hAnsi="Times New Roman" w:cs="Times New Roman"/>
                <w:b/>
                <w:bCs/>
                <w:color w:val="000000"/>
                <w:sz w:val="20"/>
                <w:szCs w:val="20"/>
                <w:lang w:val="en-US"/>
              </w:rPr>
            </w:pPr>
            <w:r w:rsidRPr="006C60B9">
              <w:rPr>
                <w:rFonts w:ascii="Times New Roman" w:eastAsia="Times New Roman" w:hAnsi="Times New Roman" w:cs="Times New Roman"/>
                <w:b/>
                <w:bCs/>
                <w:color w:val="000000"/>
                <w:sz w:val="20"/>
                <w:szCs w:val="20"/>
                <w:lang w:val="en-US"/>
              </w:rPr>
              <w:t>Completion Ratio (</w:t>
            </w:r>
            <w:r w:rsidRPr="006C60B9">
              <w:rPr>
                <w:rFonts w:ascii="Times New Roman" w:eastAsia="Times New Roman" w:hAnsi="Times New Roman" w:cs="Times New Roman"/>
                <w:b/>
                <w:bCs/>
                <w:i/>
                <w:iCs/>
                <w:color w:val="000000"/>
                <w:sz w:val="20"/>
                <w:szCs w:val="20"/>
                <w:lang w:val="en-US"/>
              </w:rPr>
              <w:t>N</w:t>
            </w:r>
            <w:r w:rsidRPr="006C60B9">
              <w:rPr>
                <w:rFonts w:ascii="Times New Roman" w:eastAsia="Times New Roman" w:hAnsi="Times New Roman" w:cs="Times New Roman"/>
                <w:b/>
                <w:bCs/>
                <w:color w:val="000000"/>
                <w:sz w:val="20"/>
                <w:szCs w:val="20"/>
                <w:lang w:val="en-US"/>
              </w:rPr>
              <w:t xml:space="preserve"> = 145)</w:t>
            </w:r>
          </w:p>
        </w:tc>
        <w:tc>
          <w:tcPr>
            <w:tcW w:w="111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69387EC" w14:textId="77777777" w:rsidR="008210FC" w:rsidRPr="006C60B9" w:rsidRDefault="008210FC" w:rsidP="00186583">
            <w:pPr>
              <w:jc w:val="center"/>
              <w:rPr>
                <w:rFonts w:ascii="Times New Roman" w:eastAsia="Times New Roman" w:hAnsi="Times New Roman" w:cs="Times New Roman"/>
                <w:b/>
                <w:bCs/>
                <w:color w:val="000000"/>
                <w:sz w:val="20"/>
                <w:szCs w:val="20"/>
                <w:lang w:val="en-US"/>
              </w:rPr>
            </w:pPr>
            <w:r w:rsidRPr="006C60B9">
              <w:rPr>
                <w:rFonts w:ascii="Times New Roman" w:eastAsia="Times New Roman" w:hAnsi="Times New Roman" w:cs="Times New Roman"/>
                <w:b/>
                <w:bCs/>
                <w:color w:val="000000"/>
                <w:sz w:val="20"/>
                <w:szCs w:val="20"/>
                <w:lang w:val="en-US"/>
              </w:rPr>
              <w:t>Number of Correct Ans.</w:t>
            </w:r>
          </w:p>
        </w:tc>
        <w:tc>
          <w:tcPr>
            <w:tcW w:w="114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4D242A7" w14:textId="77777777" w:rsidR="008210FC" w:rsidRPr="006C60B9" w:rsidRDefault="008210FC" w:rsidP="00186583">
            <w:pPr>
              <w:jc w:val="center"/>
              <w:rPr>
                <w:rFonts w:ascii="Times New Roman" w:eastAsia="Times New Roman" w:hAnsi="Times New Roman" w:cs="Times New Roman"/>
                <w:b/>
                <w:bCs/>
                <w:color w:val="000000"/>
                <w:sz w:val="20"/>
                <w:szCs w:val="20"/>
                <w:lang w:val="en-US"/>
              </w:rPr>
            </w:pPr>
            <w:r w:rsidRPr="006C60B9">
              <w:rPr>
                <w:rFonts w:ascii="Times New Roman" w:eastAsia="Times New Roman" w:hAnsi="Times New Roman" w:cs="Times New Roman"/>
                <w:b/>
                <w:bCs/>
                <w:color w:val="000000"/>
                <w:sz w:val="20"/>
                <w:szCs w:val="20"/>
                <w:lang w:val="en-US"/>
              </w:rPr>
              <w:t>% of Correct Ans. (</w:t>
            </w:r>
            <w:r w:rsidRPr="006C60B9">
              <w:rPr>
                <w:rFonts w:ascii="Times New Roman" w:eastAsia="Times New Roman" w:hAnsi="Times New Roman" w:cs="Times New Roman"/>
                <w:b/>
                <w:bCs/>
                <w:i/>
                <w:iCs/>
                <w:color w:val="000000"/>
                <w:sz w:val="20"/>
                <w:szCs w:val="20"/>
                <w:lang w:val="en-US"/>
              </w:rPr>
              <w:t>N</w:t>
            </w:r>
            <w:r w:rsidRPr="006C60B9">
              <w:rPr>
                <w:rFonts w:ascii="Times New Roman" w:eastAsia="Times New Roman" w:hAnsi="Times New Roman" w:cs="Times New Roman"/>
                <w:b/>
                <w:bCs/>
                <w:color w:val="000000"/>
                <w:sz w:val="20"/>
                <w:szCs w:val="20"/>
                <w:lang w:val="en-US"/>
              </w:rPr>
              <w:t xml:space="preserve"> = 132)</w:t>
            </w:r>
          </w:p>
        </w:tc>
      </w:tr>
      <w:tr w:rsidR="008210FC" w:rsidRPr="006C60B9" w14:paraId="414AAD63" w14:textId="77777777" w:rsidTr="005668E0">
        <w:trPr>
          <w:trHeight w:val="600"/>
        </w:trPr>
        <w:tc>
          <w:tcPr>
            <w:tcW w:w="4019"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5304C32E" w14:textId="77777777" w:rsidR="008210FC" w:rsidRPr="006C60B9" w:rsidRDefault="008210FC"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FQ1: If you invest $100 right now at 2% interest per year, how much will you have after 3 years?</w:t>
            </w:r>
          </w:p>
        </w:tc>
        <w:tc>
          <w:tcPr>
            <w:tcW w:w="1427"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8C0B0AC"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145</w:t>
            </w:r>
          </w:p>
        </w:tc>
        <w:tc>
          <w:tcPr>
            <w:tcW w:w="149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346A515"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100%</w:t>
            </w:r>
          </w:p>
        </w:tc>
        <w:tc>
          <w:tcPr>
            <w:tcW w:w="111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837CE01"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130</w:t>
            </w:r>
          </w:p>
        </w:tc>
        <w:tc>
          <w:tcPr>
            <w:tcW w:w="114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FE6B8C2"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90%</w:t>
            </w:r>
          </w:p>
        </w:tc>
      </w:tr>
      <w:tr w:rsidR="008210FC" w:rsidRPr="006C60B9" w14:paraId="36E954E5" w14:textId="77777777" w:rsidTr="005668E0">
        <w:trPr>
          <w:trHeight w:val="1500"/>
        </w:trPr>
        <w:tc>
          <w:tcPr>
            <w:tcW w:w="4019"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68EA90AB" w14:textId="77777777" w:rsidR="008210FC" w:rsidRPr="006C60B9" w:rsidRDefault="008210FC"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FQ2: Assume that the interest rate on your savings account was 1% per year, and inflation was 2% per year. After one year, how much would you be able to buy with the money in this account?</w:t>
            </w:r>
          </w:p>
        </w:tc>
        <w:tc>
          <w:tcPr>
            <w:tcW w:w="1427"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9BCEAEF"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145</w:t>
            </w:r>
          </w:p>
        </w:tc>
        <w:tc>
          <w:tcPr>
            <w:tcW w:w="149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F8D7B23"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100%</w:t>
            </w:r>
          </w:p>
        </w:tc>
        <w:tc>
          <w:tcPr>
            <w:tcW w:w="111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61B9BCEA"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88</w:t>
            </w:r>
          </w:p>
        </w:tc>
        <w:tc>
          <w:tcPr>
            <w:tcW w:w="114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D9136A0"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61%</w:t>
            </w:r>
          </w:p>
        </w:tc>
      </w:tr>
      <w:tr w:rsidR="008210FC" w:rsidRPr="006C60B9" w14:paraId="33179D70" w14:textId="77777777" w:rsidTr="005668E0">
        <w:trPr>
          <w:trHeight w:val="900"/>
        </w:trPr>
        <w:tc>
          <w:tcPr>
            <w:tcW w:w="4019"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306A9495" w14:textId="77777777" w:rsidR="008210FC" w:rsidRPr="006C60B9" w:rsidRDefault="008210FC"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FQ3: Is the following statement true or false? “Buying a single company’s stock usually provides a safer return than a stock mutual fund.”</w:t>
            </w:r>
          </w:p>
        </w:tc>
        <w:tc>
          <w:tcPr>
            <w:tcW w:w="1427"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3D2E53C"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145</w:t>
            </w:r>
          </w:p>
        </w:tc>
        <w:tc>
          <w:tcPr>
            <w:tcW w:w="149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CB0DEC0"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100%</w:t>
            </w:r>
          </w:p>
        </w:tc>
        <w:tc>
          <w:tcPr>
            <w:tcW w:w="111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385E4F2E"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91</w:t>
            </w:r>
          </w:p>
        </w:tc>
        <w:tc>
          <w:tcPr>
            <w:tcW w:w="114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51072FA"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63%</w:t>
            </w:r>
          </w:p>
        </w:tc>
      </w:tr>
      <w:tr w:rsidR="008210FC" w:rsidRPr="006C60B9" w14:paraId="14FDD684" w14:textId="77777777" w:rsidTr="005668E0">
        <w:trPr>
          <w:trHeight w:val="1800"/>
        </w:trPr>
        <w:tc>
          <w:tcPr>
            <w:tcW w:w="4019"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2BFFA981" w14:textId="77777777" w:rsidR="008210FC" w:rsidRPr="006C60B9" w:rsidRDefault="008210FC"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FQ4: Assume that you have $500 in a savings account that pays you 2% interest per year. You also have an unpaid credit card bill of $500, which charges you 1.5% per month on any unpaid balance. If you do not pay off the credit card bill, will your net wealth increase next month?</w:t>
            </w:r>
          </w:p>
        </w:tc>
        <w:tc>
          <w:tcPr>
            <w:tcW w:w="1427"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A168F36"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145</w:t>
            </w:r>
          </w:p>
        </w:tc>
        <w:tc>
          <w:tcPr>
            <w:tcW w:w="149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E80B9D3"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100%</w:t>
            </w:r>
          </w:p>
        </w:tc>
        <w:tc>
          <w:tcPr>
            <w:tcW w:w="111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B6597C3"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89</w:t>
            </w:r>
          </w:p>
        </w:tc>
        <w:tc>
          <w:tcPr>
            <w:tcW w:w="114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37BF1F4"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61%</w:t>
            </w:r>
          </w:p>
        </w:tc>
      </w:tr>
      <w:tr w:rsidR="008210FC" w:rsidRPr="006C60B9" w14:paraId="1CF0DF4C" w14:textId="77777777" w:rsidTr="005668E0">
        <w:trPr>
          <w:trHeight w:val="1500"/>
        </w:trPr>
        <w:tc>
          <w:tcPr>
            <w:tcW w:w="4019"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691B3442" w14:textId="77777777" w:rsidR="008210FC" w:rsidRPr="006C60B9" w:rsidRDefault="008210FC"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 xml:space="preserve">FQ5: Assume you wish to take out a $20,000 car loan. You have the option of taking out a 3-year loan or a 5-year loan. Which option </w:t>
            </w:r>
            <w:proofErr w:type="gramStart"/>
            <w:r w:rsidRPr="006C60B9">
              <w:rPr>
                <w:rFonts w:ascii="Times New Roman" w:eastAsia="Times New Roman" w:hAnsi="Times New Roman" w:cs="Times New Roman"/>
                <w:color w:val="000000"/>
                <w:sz w:val="20"/>
                <w:szCs w:val="20"/>
                <w:lang w:val="en-US"/>
              </w:rPr>
              <w:t>would</w:t>
            </w:r>
            <w:proofErr w:type="gramEnd"/>
            <w:r w:rsidRPr="006C60B9">
              <w:rPr>
                <w:rFonts w:ascii="Times New Roman" w:eastAsia="Times New Roman" w:hAnsi="Times New Roman" w:cs="Times New Roman"/>
                <w:color w:val="000000"/>
                <w:sz w:val="20"/>
                <w:szCs w:val="20"/>
                <w:lang w:val="en-US"/>
              </w:rPr>
              <w:t xml:space="preserve"> have a higher monthly payment if both loans have a 3% APR?</w:t>
            </w:r>
          </w:p>
        </w:tc>
        <w:tc>
          <w:tcPr>
            <w:tcW w:w="1427"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3B0AB8E"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145</w:t>
            </w:r>
          </w:p>
        </w:tc>
        <w:tc>
          <w:tcPr>
            <w:tcW w:w="149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3BB24FC9"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100%</w:t>
            </w:r>
          </w:p>
        </w:tc>
        <w:tc>
          <w:tcPr>
            <w:tcW w:w="111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2ABACC2"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100</w:t>
            </w:r>
          </w:p>
        </w:tc>
        <w:tc>
          <w:tcPr>
            <w:tcW w:w="114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F0F670B" w14:textId="77777777" w:rsidR="008210FC" w:rsidRPr="006C60B9" w:rsidRDefault="008210FC"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70%</w:t>
            </w:r>
          </w:p>
        </w:tc>
      </w:tr>
    </w:tbl>
    <w:p w14:paraId="23A33BC2" w14:textId="77777777" w:rsidR="00263C50" w:rsidRDefault="00263C50" w:rsidP="00186583">
      <w:pPr>
        <w:rPr>
          <w:rFonts w:ascii="Times New Roman" w:hAnsi="Times New Roman" w:cs="Times New Roman"/>
          <w:sz w:val="20"/>
          <w:szCs w:val="20"/>
          <w:lang w:val="en-US"/>
        </w:rPr>
      </w:pPr>
    </w:p>
    <w:p w14:paraId="18329D2E" w14:textId="77777777" w:rsidR="00263C50" w:rsidRPr="006C60B9" w:rsidRDefault="00263C50" w:rsidP="00186583">
      <w:pPr>
        <w:rPr>
          <w:rFonts w:ascii="Times New Roman" w:hAnsi="Times New Roman" w:cs="Times New Roman"/>
          <w:sz w:val="20"/>
          <w:szCs w:val="20"/>
          <w:lang w:val="en-US"/>
        </w:rPr>
        <w:sectPr w:rsidR="00263C50" w:rsidRPr="006C60B9" w:rsidSect="00CA4B1F">
          <w:pgSz w:w="12240" w:h="15840"/>
          <w:pgMar w:top="1440" w:right="1440" w:bottom="1440" w:left="1440" w:header="720" w:footer="720" w:gutter="0"/>
          <w:cols w:space="720"/>
          <w:docGrid w:linePitch="360"/>
        </w:sectPr>
      </w:pPr>
    </w:p>
    <w:p w14:paraId="430E83F3" w14:textId="77777777" w:rsidR="00127AD3" w:rsidRPr="006C60B9" w:rsidRDefault="00127AD3" w:rsidP="00186583">
      <w:pPr>
        <w:rPr>
          <w:rFonts w:ascii="Times New Roman" w:hAnsi="Times New Roman" w:cs="Times New Roman"/>
          <w:b/>
          <w:sz w:val="20"/>
          <w:szCs w:val="20"/>
          <w:lang w:val="en-US"/>
        </w:rPr>
      </w:pPr>
      <w:r w:rsidRPr="006C60B9">
        <w:rPr>
          <w:rFonts w:ascii="Times New Roman" w:hAnsi="Times New Roman" w:cs="Times New Roman"/>
          <w:b/>
          <w:sz w:val="20"/>
          <w:szCs w:val="20"/>
          <w:lang w:val="en-US"/>
        </w:rPr>
        <w:lastRenderedPageBreak/>
        <w:t>Table 2 Tax literacy questions and response statistics</w:t>
      </w:r>
    </w:p>
    <w:p w14:paraId="75AEF5D7" w14:textId="77777777" w:rsidR="006C60B9" w:rsidRPr="006C60B9" w:rsidRDefault="006C60B9" w:rsidP="006C60B9">
      <w:pPr>
        <w:rPr>
          <w:rFonts w:ascii="Times New Roman" w:hAnsi="Times New Roman" w:cs="Times New Roman"/>
          <w:b/>
          <w:sz w:val="20"/>
          <w:szCs w:val="20"/>
          <w:lang w:val="en-US"/>
        </w:rPr>
      </w:pPr>
    </w:p>
    <w:tbl>
      <w:tblPr>
        <w:tblW w:w="9169" w:type="dxa"/>
        <w:tblInd w:w="93" w:type="dxa"/>
        <w:tblLayout w:type="fixed"/>
        <w:tblLook w:val="04A0" w:firstRow="1" w:lastRow="0" w:firstColumn="1" w:lastColumn="0" w:noHBand="0" w:noVBand="1"/>
      </w:tblPr>
      <w:tblGrid>
        <w:gridCol w:w="3975"/>
        <w:gridCol w:w="1440"/>
        <w:gridCol w:w="1494"/>
        <w:gridCol w:w="1116"/>
        <w:gridCol w:w="1144"/>
      </w:tblGrid>
      <w:tr w:rsidR="0089544F" w:rsidRPr="006C60B9" w14:paraId="0961A812" w14:textId="77777777" w:rsidTr="005668E0">
        <w:trPr>
          <w:trHeight w:val="926"/>
        </w:trPr>
        <w:tc>
          <w:tcPr>
            <w:tcW w:w="3975"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6390EC19" w14:textId="77777777" w:rsidR="0089544F" w:rsidRPr="006C60B9" w:rsidRDefault="0089544F" w:rsidP="00186583">
            <w:pPr>
              <w:rPr>
                <w:rFonts w:ascii="Times New Roman" w:eastAsia="Times New Roman" w:hAnsi="Times New Roman" w:cs="Times New Roman"/>
                <w:b/>
                <w:bCs/>
                <w:color w:val="FFFFFF"/>
                <w:sz w:val="20"/>
                <w:szCs w:val="20"/>
                <w:lang w:val="en-US"/>
              </w:rPr>
            </w:pPr>
            <w:r w:rsidRPr="006C60B9">
              <w:rPr>
                <w:rFonts w:ascii="Times New Roman" w:eastAsia="Times New Roman" w:hAnsi="Times New Roman" w:cs="Times New Roman"/>
                <w:b/>
                <w:bCs/>
                <w:color w:val="000000"/>
                <w:sz w:val="20"/>
                <w:szCs w:val="20"/>
                <w:lang w:val="en-US"/>
              </w:rPr>
              <w:t>Tax Literacy Questions</w:t>
            </w:r>
            <w:r w:rsidRPr="006C60B9">
              <w:rPr>
                <w:rFonts w:ascii="Times New Roman" w:eastAsia="Times New Roman" w:hAnsi="Times New Roman" w:cs="Times New Roman"/>
                <w:b/>
                <w:bCs/>
                <w:sz w:val="20"/>
                <w:szCs w:val="20"/>
                <w:lang w:val="en-US"/>
              </w:rPr>
              <w:t xml:space="preserve"> (TQs</w:t>
            </w:r>
            <w:r w:rsidRPr="006C60B9">
              <w:rPr>
                <w:rFonts w:ascii="Times New Roman" w:eastAsia="Times New Roman" w:hAnsi="Times New Roman" w:cs="Times New Roman"/>
                <w:b/>
                <w:bCs/>
                <w:color w:val="000000"/>
                <w:sz w:val="20"/>
                <w:szCs w:val="20"/>
                <w:lang w:val="en-US"/>
              </w:rPr>
              <w:t>)</w:t>
            </w:r>
          </w:p>
        </w:tc>
        <w:tc>
          <w:tcPr>
            <w:tcW w:w="144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9BE5D63" w14:textId="77777777" w:rsidR="0089544F" w:rsidRPr="006C60B9" w:rsidRDefault="0089544F" w:rsidP="00186583">
            <w:pPr>
              <w:jc w:val="center"/>
              <w:rPr>
                <w:rFonts w:ascii="Times New Roman" w:eastAsia="Times New Roman" w:hAnsi="Times New Roman" w:cs="Times New Roman"/>
                <w:b/>
                <w:bCs/>
                <w:color w:val="000000"/>
                <w:sz w:val="20"/>
                <w:szCs w:val="20"/>
                <w:lang w:val="en-US"/>
              </w:rPr>
            </w:pPr>
            <w:r w:rsidRPr="006C60B9">
              <w:rPr>
                <w:rFonts w:ascii="Times New Roman" w:eastAsia="Times New Roman" w:hAnsi="Times New Roman" w:cs="Times New Roman"/>
                <w:b/>
                <w:bCs/>
                <w:color w:val="000000"/>
                <w:sz w:val="20"/>
                <w:szCs w:val="20"/>
                <w:lang w:val="en-US"/>
              </w:rPr>
              <w:t>Number Completed</w:t>
            </w:r>
          </w:p>
        </w:tc>
        <w:tc>
          <w:tcPr>
            <w:tcW w:w="149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71184CB" w14:textId="77777777" w:rsidR="0089544F" w:rsidRPr="006C60B9" w:rsidRDefault="0089544F" w:rsidP="00186583">
            <w:pPr>
              <w:jc w:val="center"/>
              <w:rPr>
                <w:rFonts w:ascii="Times New Roman" w:eastAsia="Times New Roman" w:hAnsi="Times New Roman" w:cs="Times New Roman"/>
                <w:b/>
                <w:bCs/>
                <w:color w:val="000000"/>
                <w:sz w:val="20"/>
                <w:szCs w:val="20"/>
                <w:lang w:val="en-US"/>
              </w:rPr>
            </w:pPr>
            <w:r w:rsidRPr="006C60B9">
              <w:rPr>
                <w:rFonts w:ascii="Times New Roman" w:eastAsia="Times New Roman" w:hAnsi="Times New Roman" w:cs="Times New Roman"/>
                <w:b/>
                <w:bCs/>
                <w:color w:val="000000"/>
                <w:sz w:val="20"/>
                <w:szCs w:val="20"/>
                <w:lang w:val="en-US"/>
              </w:rPr>
              <w:t>Completion Ratio (</w:t>
            </w:r>
            <w:r w:rsidRPr="006C60B9">
              <w:rPr>
                <w:rFonts w:ascii="Times New Roman" w:eastAsia="Times New Roman" w:hAnsi="Times New Roman" w:cs="Times New Roman"/>
                <w:b/>
                <w:bCs/>
                <w:i/>
                <w:iCs/>
                <w:color w:val="000000"/>
                <w:sz w:val="20"/>
                <w:szCs w:val="20"/>
                <w:lang w:val="en-US"/>
              </w:rPr>
              <w:t>N</w:t>
            </w:r>
            <w:r w:rsidRPr="006C60B9">
              <w:rPr>
                <w:rFonts w:ascii="Times New Roman" w:eastAsia="Times New Roman" w:hAnsi="Times New Roman" w:cs="Times New Roman"/>
                <w:b/>
                <w:bCs/>
                <w:color w:val="000000"/>
                <w:sz w:val="20"/>
                <w:szCs w:val="20"/>
                <w:lang w:val="en-US"/>
              </w:rPr>
              <w:t xml:space="preserve"> = 145)</w:t>
            </w:r>
          </w:p>
        </w:tc>
        <w:tc>
          <w:tcPr>
            <w:tcW w:w="111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662033D0" w14:textId="77777777" w:rsidR="0089544F" w:rsidRPr="006C60B9" w:rsidRDefault="0089544F" w:rsidP="00186583">
            <w:pPr>
              <w:jc w:val="center"/>
              <w:rPr>
                <w:rFonts w:ascii="Times New Roman" w:eastAsia="Times New Roman" w:hAnsi="Times New Roman" w:cs="Times New Roman"/>
                <w:b/>
                <w:bCs/>
                <w:color w:val="000000"/>
                <w:sz w:val="20"/>
                <w:szCs w:val="20"/>
                <w:lang w:val="en-US"/>
              </w:rPr>
            </w:pPr>
            <w:r w:rsidRPr="006C60B9">
              <w:rPr>
                <w:rFonts w:ascii="Times New Roman" w:eastAsia="Times New Roman" w:hAnsi="Times New Roman" w:cs="Times New Roman"/>
                <w:b/>
                <w:bCs/>
                <w:color w:val="000000"/>
                <w:sz w:val="20"/>
                <w:szCs w:val="20"/>
                <w:lang w:val="en-US"/>
              </w:rPr>
              <w:t>Number Correct</w:t>
            </w:r>
          </w:p>
        </w:tc>
        <w:tc>
          <w:tcPr>
            <w:tcW w:w="114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C70AB1E" w14:textId="77777777" w:rsidR="0089544F" w:rsidRPr="006C60B9" w:rsidRDefault="0089544F" w:rsidP="00186583">
            <w:pPr>
              <w:jc w:val="center"/>
              <w:rPr>
                <w:rFonts w:ascii="Times New Roman" w:eastAsia="Times New Roman" w:hAnsi="Times New Roman" w:cs="Times New Roman"/>
                <w:b/>
                <w:bCs/>
                <w:color w:val="000000"/>
                <w:sz w:val="20"/>
                <w:szCs w:val="20"/>
                <w:lang w:val="en-US"/>
              </w:rPr>
            </w:pPr>
            <w:r w:rsidRPr="006C60B9">
              <w:rPr>
                <w:rFonts w:ascii="Times New Roman" w:eastAsia="Times New Roman" w:hAnsi="Times New Roman" w:cs="Times New Roman"/>
                <w:b/>
                <w:bCs/>
                <w:color w:val="000000"/>
                <w:sz w:val="20"/>
                <w:szCs w:val="20"/>
                <w:lang w:val="en-US"/>
              </w:rPr>
              <w:t>% Correct (</w:t>
            </w:r>
            <w:r w:rsidRPr="006C60B9">
              <w:rPr>
                <w:rFonts w:ascii="Times New Roman" w:eastAsia="Times New Roman" w:hAnsi="Times New Roman" w:cs="Times New Roman"/>
                <w:b/>
                <w:bCs/>
                <w:i/>
                <w:iCs/>
                <w:color w:val="000000"/>
                <w:sz w:val="20"/>
                <w:szCs w:val="20"/>
                <w:lang w:val="en-US"/>
              </w:rPr>
              <w:t>N</w:t>
            </w:r>
            <w:r w:rsidRPr="006C60B9">
              <w:rPr>
                <w:rFonts w:ascii="Times New Roman" w:eastAsia="Times New Roman" w:hAnsi="Times New Roman" w:cs="Times New Roman"/>
                <w:b/>
                <w:bCs/>
                <w:color w:val="000000"/>
                <w:sz w:val="20"/>
                <w:szCs w:val="20"/>
                <w:lang w:val="en-US"/>
              </w:rPr>
              <w:t xml:space="preserve"> = 145)</w:t>
            </w:r>
          </w:p>
        </w:tc>
      </w:tr>
      <w:tr w:rsidR="0089544F" w:rsidRPr="006C60B9" w14:paraId="64C29C88" w14:textId="77777777" w:rsidTr="005668E0">
        <w:trPr>
          <w:trHeight w:val="1200"/>
        </w:trPr>
        <w:tc>
          <w:tcPr>
            <w:tcW w:w="3975"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02796BEC" w14:textId="77777777" w:rsidR="0089544F" w:rsidRPr="006C60B9" w:rsidRDefault="0089544F"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TQ1: Jane Doe lives in a one-bedroom apartment. Her apartment rental was $24,000 per year. Is this rental payment deductible from her federal taxable income?</w:t>
            </w:r>
          </w:p>
        </w:tc>
        <w:tc>
          <w:tcPr>
            <w:tcW w:w="1440" w:type="dxa"/>
            <w:tcBorders>
              <w:top w:val="single" w:sz="4" w:space="0" w:color="auto"/>
              <w:left w:val="nil"/>
              <w:bottom w:val="single" w:sz="4" w:space="0" w:color="auto"/>
              <w:right w:val="single" w:sz="4" w:space="0" w:color="auto"/>
            </w:tcBorders>
            <w:shd w:val="clear" w:color="000000" w:fill="auto"/>
            <w:noWrap/>
            <w:vAlign w:val="center"/>
            <w:hideMark/>
          </w:tcPr>
          <w:p w14:paraId="072DE4C0"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145</w:t>
            </w:r>
          </w:p>
        </w:tc>
        <w:tc>
          <w:tcPr>
            <w:tcW w:w="149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6AD4D15"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100%</w:t>
            </w:r>
          </w:p>
        </w:tc>
        <w:tc>
          <w:tcPr>
            <w:tcW w:w="1116" w:type="dxa"/>
            <w:tcBorders>
              <w:top w:val="single" w:sz="4" w:space="0" w:color="auto"/>
              <w:left w:val="nil"/>
              <w:bottom w:val="single" w:sz="4" w:space="0" w:color="auto"/>
              <w:right w:val="single" w:sz="4" w:space="0" w:color="auto"/>
            </w:tcBorders>
            <w:shd w:val="clear" w:color="000000" w:fill="auto"/>
            <w:noWrap/>
            <w:vAlign w:val="center"/>
            <w:hideMark/>
          </w:tcPr>
          <w:p w14:paraId="4172D2FF"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75</w:t>
            </w:r>
          </w:p>
        </w:tc>
        <w:tc>
          <w:tcPr>
            <w:tcW w:w="114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D1549F1"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52%</w:t>
            </w:r>
          </w:p>
        </w:tc>
      </w:tr>
      <w:tr w:rsidR="0089544F" w:rsidRPr="006C60B9" w14:paraId="199C7047" w14:textId="77777777" w:rsidTr="005668E0">
        <w:trPr>
          <w:trHeight w:val="1500"/>
        </w:trPr>
        <w:tc>
          <w:tcPr>
            <w:tcW w:w="3975"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18FC0286" w14:textId="77777777" w:rsidR="0089544F" w:rsidRPr="006C60B9" w:rsidRDefault="0089544F"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 xml:space="preserve">TQ2: Jane Doe worked for a publishing company in 2019, and her wages from the publishing company </w:t>
            </w:r>
            <w:proofErr w:type="gramStart"/>
            <w:r w:rsidRPr="006C60B9">
              <w:rPr>
                <w:rFonts w:ascii="Times New Roman" w:eastAsia="Times New Roman" w:hAnsi="Times New Roman" w:cs="Times New Roman"/>
                <w:color w:val="000000"/>
                <w:sz w:val="20"/>
                <w:szCs w:val="20"/>
                <w:lang w:val="en-US"/>
              </w:rPr>
              <w:t>was</w:t>
            </w:r>
            <w:proofErr w:type="gramEnd"/>
            <w:r w:rsidRPr="006C60B9">
              <w:rPr>
                <w:rFonts w:ascii="Times New Roman" w:eastAsia="Times New Roman" w:hAnsi="Times New Roman" w:cs="Times New Roman"/>
                <w:color w:val="000000"/>
                <w:sz w:val="20"/>
                <w:szCs w:val="20"/>
                <w:lang w:val="en-US"/>
              </w:rPr>
              <w:t xml:space="preserve"> $50,000. Is the $50,000 taxable for federal income tax purposes?</w:t>
            </w:r>
          </w:p>
        </w:tc>
        <w:tc>
          <w:tcPr>
            <w:tcW w:w="1440" w:type="dxa"/>
            <w:tcBorders>
              <w:top w:val="nil"/>
              <w:left w:val="nil"/>
              <w:bottom w:val="single" w:sz="4" w:space="0" w:color="auto"/>
              <w:right w:val="single" w:sz="4" w:space="0" w:color="auto"/>
            </w:tcBorders>
            <w:shd w:val="clear" w:color="000000" w:fill="auto"/>
            <w:noWrap/>
            <w:vAlign w:val="center"/>
            <w:hideMark/>
          </w:tcPr>
          <w:p w14:paraId="16F97E7D"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145</w:t>
            </w:r>
          </w:p>
        </w:tc>
        <w:tc>
          <w:tcPr>
            <w:tcW w:w="149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C763089"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100%</w:t>
            </w:r>
          </w:p>
        </w:tc>
        <w:tc>
          <w:tcPr>
            <w:tcW w:w="1116" w:type="dxa"/>
            <w:tcBorders>
              <w:top w:val="nil"/>
              <w:left w:val="nil"/>
              <w:bottom w:val="single" w:sz="4" w:space="0" w:color="auto"/>
              <w:right w:val="single" w:sz="4" w:space="0" w:color="auto"/>
            </w:tcBorders>
            <w:shd w:val="clear" w:color="000000" w:fill="auto"/>
            <w:noWrap/>
            <w:vAlign w:val="center"/>
            <w:hideMark/>
          </w:tcPr>
          <w:p w14:paraId="5D3101A3"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109</w:t>
            </w:r>
          </w:p>
        </w:tc>
        <w:tc>
          <w:tcPr>
            <w:tcW w:w="114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C18AC72"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75%</w:t>
            </w:r>
          </w:p>
        </w:tc>
      </w:tr>
      <w:tr w:rsidR="0089544F" w:rsidRPr="006C60B9" w14:paraId="7E719BF0" w14:textId="77777777" w:rsidTr="005668E0">
        <w:trPr>
          <w:trHeight w:val="1800"/>
        </w:trPr>
        <w:tc>
          <w:tcPr>
            <w:tcW w:w="3975"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218C059F" w14:textId="77777777" w:rsidR="0089544F" w:rsidRPr="006C60B9" w:rsidRDefault="0089544F"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TQ3: Jane Doe (her adjusted gross income is $55,000) is healthy, and her only medical expenses in 2019 are the payment to her eye doctor and the cost of the contact lenses (total $450). Can she use the $450 to reduce her taxable income in 2019?</w:t>
            </w:r>
          </w:p>
        </w:tc>
        <w:tc>
          <w:tcPr>
            <w:tcW w:w="1440" w:type="dxa"/>
            <w:tcBorders>
              <w:top w:val="nil"/>
              <w:left w:val="nil"/>
              <w:bottom w:val="single" w:sz="4" w:space="0" w:color="auto"/>
              <w:right w:val="single" w:sz="4" w:space="0" w:color="auto"/>
            </w:tcBorders>
            <w:shd w:val="clear" w:color="000000" w:fill="auto"/>
            <w:noWrap/>
            <w:vAlign w:val="center"/>
            <w:hideMark/>
          </w:tcPr>
          <w:p w14:paraId="13C07696"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145</w:t>
            </w:r>
          </w:p>
        </w:tc>
        <w:tc>
          <w:tcPr>
            <w:tcW w:w="149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9921974"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100%</w:t>
            </w:r>
          </w:p>
        </w:tc>
        <w:tc>
          <w:tcPr>
            <w:tcW w:w="1116" w:type="dxa"/>
            <w:tcBorders>
              <w:top w:val="nil"/>
              <w:left w:val="nil"/>
              <w:bottom w:val="single" w:sz="4" w:space="0" w:color="auto"/>
              <w:right w:val="single" w:sz="4" w:space="0" w:color="auto"/>
            </w:tcBorders>
            <w:shd w:val="clear" w:color="000000" w:fill="auto"/>
            <w:noWrap/>
            <w:vAlign w:val="center"/>
            <w:hideMark/>
          </w:tcPr>
          <w:p w14:paraId="54E7637C"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47</w:t>
            </w:r>
          </w:p>
        </w:tc>
        <w:tc>
          <w:tcPr>
            <w:tcW w:w="114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BE07EE9"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32%</w:t>
            </w:r>
          </w:p>
        </w:tc>
      </w:tr>
      <w:tr w:rsidR="0089544F" w:rsidRPr="006C60B9" w14:paraId="1460E996" w14:textId="77777777" w:rsidTr="005668E0">
        <w:trPr>
          <w:trHeight w:val="900"/>
        </w:trPr>
        <w:tc>
          <w:tcPr>
            <w:tcW w:w="3975"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67784A95" w14:textId="77777777" w:rsidR="0089544F" w:rsidRPr="006C60B9" w:rsidRDefault="0089544F"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TQ4: Jane Doe drives to work. Her car loan is $3,600 per year. Is the $3,600 deductible from her federal taxable income?</w:t>
            </w:r>
          </w:p>
        </w:tc>
        <w:tc>
          <w:tcPr>
            <w:tcW w:w="1440" w:type="dxa"/>
            <w:tcBorders>
              <w:top w:val="nil"/>
              <w:left w:val="nil"/>
              <w:bottom w:val="single" w:sz="4" w:space="0" w:color="auto"/>
              <w:right w:val="single" w:sz="4" w:space="0" w:color="auto"/>
            </w:tcBorders>
            <w:shd w:val="clear" w:color="000000" w:fill="auto"/>
            <w:noWrap/>
            <w:vAlign w:val="center"/>
            <w:hideMark/>
          </w:tcPr>
          <w:p w14:paraId="0CD234D6"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145</w:t>
            </w:r>
          </w:p>
        </w:tc>
        <w:tc>
          <w:tcPr>
            <w:tcW w:w="149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741AF22"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100%</w:t>
            </w:r>
          </w:p>
        </w:tc>
        <w:tc>
          <w:tcPr>
            <w:tcW w:w="1116" w:type="dxa"/>
            <w:tcBorders>
              <w:top w:val="nil"/>
              <w:left w:val="nil"/>
              <w:bottom w:val="single" w:sz="4" w:space="0" w:color="auto"/>
              <w:right w:val="single" w:sz="4" w:space="0" w:color="auto"/>
            </w:tcBorders>
            <w:shd w:val="clear" w:color="000000" w:fill="auto"/>
            <w:noWrap/>
            <w:vAlign w:val="center"/>
            <w:hideMark/>
          </w:tcPr>
          <w:p w14:paraId="2DE8B0CD"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72</w:t>
            </w:r>
          </w:p>
        </w:tc>
        <w:tc>
          <w:tcPr>
            <w:tcW w:w="114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2D36F47"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50%</w:t>
            </w:r>
          </w:p>
        </w:tc>
      </w:tr>
      <w:tr w:rsidR="0089544F" w:rsidRPr="006C60B9" w14:paraId="68F2FB93" w14:textId="77777777" w:rsidTr="005668E0">
        <w:trPr>
          <w:trHeight w:val="1500"/>
        </w:trPr>
        <w:tc>
          <w:tcPr>
            <w:tcW w:w="3975"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64EDDD75" w14:textId="77777777" w:rsidR="0089544F" w:rsidRPr="006C60B9" w:rsidRDefault="0089544F"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TQ5: Jane Doe sold some of her baseball cards on Craig’s list for $200. She bought these cards for $50 when she was 10 years old. Does she have taxable income from this transaction?</w:t>
            </w:r>
          </w:p>
        </w:tc>
        <w:tc>
          <w:tcPr>
            <w:tcW w:w="1440" w:type="dxa"/>
            <w:tcBorders>
              <w:top w:val="nil"/>
              <w:left w:val="nil"/>
              <w:bottom w:val="single" w:sz="4" w:space="0" w:color="auto"/>
              <w:right w:val="single" w:sz="4" w:space="0" w:color="auto"/>
            </w:tcBorders>
            <w:shd w:val="clear" w:color="000000" w:fill="auto"/>
            <w:noWrap/>
            <w:vAlign w:val="center"/>
            <w:hideMark/>
          </w:tcPr>
          <w:p w14:paraId="1455B3AA"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145</w:t>
            </w:r>
          </w:p>
        </w:tc>
        <w:tc>
          <w:tcPr>
            <w:tcW w:w="149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6DA3249"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100%</w:t>
            </w:r>
          </w:p>
        </w:tc>
        <w:tc>
          <w:tcPr>
            <w:tcW w:w="1116" w:type="dxa"/>
            <w:tcBorders>
              <w:top w:val="nil"/>
              <w:left w:val="nil"/>
              <w:bottom w:val="single" w:sz="4" w:space="0" w:color="auto"/>
              <w:right w:val="single" w:sz="4" w:space="0" w:color="auto"/>
            </w:tcBorders>
            <w:shd w:val="clear" w:color="000000" w:fill="auto"/>
            <w:noWrap/>
            <w:vAlign w:val="center"/>
            <w:hideMark/>
          </w:tcPr>
          <w:p w14:paraId="6BC7F6D4"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42</w:t>
            </w:r>
          </w:p>
        </w:tc>
        <w:tc>
          <w:tcPr>
            <w:tcW w:w="114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1551AD3"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29%</w:t>
            </w:r>
          </w:p>
        </w:tc>
      </w:tr>
      <w:tr w:rsidR="0089544F" w:rsidRPr="006C60B9" w14:paraId="6C69B4AC" w14:textId="77777777" w:rsidTr="005668E0">
        <w:trPr>
          <w:trHeight w:val="1200"/>
        </w:trPr>
        <w:tc>
          <w:tcPr>
            <w:tcW w:w="3975"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4CAA1809" w14:textId="77777777" w:rsidR="0089544F" w:rsidRPr="006C60B9" w:rsidRDefault="0089544F"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TQ6: Jane Doe pays social security taxes of $3,825 through salary withholding. Is the $3,825 deductible from her federal taxable income?</w:t>
            </w:r>
          </w:p>
        </w:tc>
        <w:tc>
          <w:tcPr>
            <w:tcW w:w="1440" w:type="dxa"/>
            <w:tcBorders>
              <w:top w:val="nil"/>
              <w:left w:val="nil"/>
              <w:bottom w:val="single" w:sz="4" w:space="0" w:color="auto"/>
              <w:right w:val="single" w:sz="4" w:space="0" w:color="auto"/>
            </w:tcBorders>
            <w:shd w:val="clear" w:color="000000" w:fill="auto"/>
            <w:noWrap/>
            <w:vAlign w:val="center"/>
            <w:hideMark/>
          </w:tcPr>
          <w:p w14:paraId="3468DEBF"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145</w:t>
            </w:r>
          </w:p>
        </w:tc>
        <w:tc>
          <w:tcPr>
            <w:tcW w:w="149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636182F"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100%</w:t>
            </w:r>
          </w:p>
        </w:tc>
        <w:tc>
          <w:tcPr>
            <w:tcW w:w="1116" w:type="dxa"/>
            <w:tcBorders>
              <w:top w:val="nil"/>
              <w:left w:val="nil"/>
              <w:bottom w:val="single" w:sz="4" w:space="0" w:color="auto"/>
              <w:right w:val="single" w:sz="4" w:space="0" w:color="auto"/>
            </w:tcBorders>
            <w:shd w:val="clear" w:color="000000" w:fill="auto"/>
            <w:noWrap/>
            <w:vAlign w:val="center"/>
            <w:hideMark/>
          </w:tcPr>
          <w:p w14:paraId="544A91E6"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41</w:t>
            </w:r>
          </w:p>
        </w:tc>
        <w:tc>
          <w:tcPr>
            <w:tcW w:w="114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BCC01B1"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28%</w:t>
            </w:r>
          </w:p>
        </w:tc>
      </w:tr>
      <w:tr w:rsidR="0089544F" w:rsidRPr="006C60B9" w14:paraId="51FFC6AD" w14:textId="77777777" w:rsidTr="005668E0">
        <w:trPr>
          <w:trHeight w:val="600"/>
        </w:trPr>
        <w:tc>
          <w:tcPr>
            <w:tcW w:w="3975"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2E450E5D" w14:textId="77777777" w:rsidR="0089544F" w:rsidRPr="006C60B9" w:rsidRDefault="0089544F"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TQ7: Jane Doe is single. What is her standard deduction? (table provided)</w:t>
            </w:r>
          </w:p>
        </w:tc>
        <w:tc>
          <w:tcPr>
            <w:tcW w:w="1440" w:type="dxa"/>
            <w:tcBorders>
              <w:top w:val="nil"/>
              <w:left w:val="nil"/>
              <w:bottom w:val="single" w:sz="4" w:space="0" w:color="auto"/>
              <w:right w:val="single" w:sz="4" w:space="0" w:color="auto"/>
            </w:tcBorders>
            <w:shd w:val="clear" w:color="000000" w:fill="auto"/>
            <w:noWrap/>
            <w:vAlign w:val="center"/>
            <w:hideMark/>
          </w:tcPr>
          <w:p w14:paraId="2A44E492"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145</w:t>
            </w:r>
          </w:p>
        </w:tc>
        <w:tc>
          <w:tcPr>
            <w:tcW w:w="149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0018643"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100%</w:t>
            </w:r>
          </w:p>
        </w:tc>
        <w:tc>
          <w:tcPr>
            <w:tcW w:w="1116" w:type="dxa"/>
            <w:tcBorders>
              <w:top w:val="nil"/>
              <w:left w:val="nil"/>
              <w:bottom w:val="single" w:sz="4" w:space="0" w:color="auto"/>
              <w:right w:val="single" w:sz="4" w:space="0" w:color="auto"/>
            </w:tcBorders>
            <w:shd w:val="clear" w:color="000000" w:fill="auto"/>
            <w:noWrap/>
            <w:vAlign w:val="center"/>
            <w:hideMark/>
          </w:tcPr>
          <w:p w14:paraId="45888E48"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120</w:t>
            </w:r>
          </w:p>
        </w:tc>
        <w:tc>
          <w:tcPr>
            <w:tcW w:w="114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2C7471C"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83%</w:t>
            </w:r>
          </w:p>
        </w:tc>
      </w:tr>
      <w:tr w:rsidR="0089544F" w:rsidRPr="006C60B9" w14:paraId="5564D5DE" w14:textId="77777777" w:rsidTr="005668E0">
        <w:trPr>
          <w:trHeight w:val="2400"/>
        </w:trPr>
        <w:tc>
          <w:tcPr>
            <w:tcW w:w="3975"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5C75BBF4" w14:textId="77777777" w:rsidR="0089544F" w:rsidRPr="006C60B9" w:rsidRDefault="0089544F"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TQ8: Maria Garcia is married and files a joint return with her spouse. Their adjusted gross income was $150,000 in 2019. They incurred itemizable expenses of $20,000 in 2019. Based on their filing status, the standard deduction for them would be $24,400. What was the taxable income of Maria and her spouse in 2019?</w:t>
            </w:r>
          </w:p>
        </w:tc>
        <w:tc>
          <w:tcPr>
            <w:tcW w:w="1440" w:type="dxa"/>
            <w:tcBorders>
              <w:top w:val="nil"/>
              <w:left w:val="nil"/>
              <w:bottom w:val="single" w:sz="4" w:space="0" w:color="auto"/>
              <w:right w:val="single" w:sz="4" w:space="0" w:color="auto"/>
            </w:tcBorders>
            <w:shd w:val="clear" w:color="000000" w:fill="auto"/>
            <w:noWrap/>
            <w:vAlign w:val="center"/>
            <w:hideMark/>
          </w:tcPr>
          <w:p w14:paraId="2BB86911"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145</w:t>
            </w:r>
          </w:p>
        </w:tc>
        <w:tc>
          <w:tcPr>
            <w:tcW w:w="149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CA37A74"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100%</w:t>
            </w:r>
          </w:p>
        </w:tc>
        <w:tc>
          <w:tcPr>
            <w:tcW w:w="1116" w:type="dxa"/>
            <w:tcBorders>
              <w:top w:val="nil"/>
              <w:left w:val="nil"/>
              <w:bottom w:val="single" w:sz="4" w:space="0" w:color="auto"/>
              <w:right w:val="single" w:sz="4" w:space="0" w:color="auto"/>
            </w:tcBorders>
            <w:shd w:val="clear" w:color="000000" w:fill="auto"/>
            <w:noWrap/>
            <w:vAlign w:val="center"/>
            <w:hideMark/>
          </w:tcPr>
          <w:p w14:paraId="069DA6B6"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70</w:t>
            </w:r>
          </w:p>
        </w:tc>
        <w:tc>
          <w:tcPr>
            <w:tcW w:w="114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9113D2D"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48%</w:t>
            </w:r>
          </w:p>
        </w:tc>
      </w:tr>
      <w:tr w:rsidR="0089544F" w:rsidRPr="006C60B9" w14:paraId="2FF01091" w14:textId="77777777" w:rsidTr="005668E0">
        <w:trPr>
          <w:trHeight w:val="1500"/>
        </w:trPr>
        <w:tc>
          <w:tcPr>
            <w:tcW w:w="3975"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186D7C6B" w14:textId="77777777" w:rsidR="0089544F" w:rsidRPr="006C60B9" w:rsidRDefault="0089544F"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lastRenderedPageBreak/>
              <w:t>TQ9: Joe Blow is single, and his 2019 taxable income was $55,000. His neighbor Dave’s 2019 taxable income was $160,000. Dave is single, too. Comparing the tax rates of Joe and Dave. (tax rate table provided)</w:t>
            </w:r>
          </w:p>
        </w:tc>
        <w:tc>
          <w:tcPr>
            <w:tcW w:w="1440" w:type="dxa"/>
            <w:tcBorders>
              <w:top w:val="single" w:sz="4" w:space="0" w:color="auto"/>
              <w:left w:val="nil"/>
              <w:bottom w:val="single" w:sz="4" w:space="0" w:color="auto"/>
              <w:right w:val="single" w:sz="4" w:space="0" w:color="auto"/>
            </w:tcBorders>
            <w:shd w:val="clear" w:color="000000" w:fill="auto"/>
            <w:noWrap/>
            <w:vAlign w:val="center"/>
            <w:hideMark/>
          </w:tcPr>
          <w:p w14:paraId="3B4AD563"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145</w:t>
            </w:r>
          </w:p>
        </w:tc>
        <w:tc>
          <w:tcPr>
            <w:tcW w:w="149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0E8F980"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100%</w:t>
            </w:r>
          </w:p>
        </w:tc>
        <w:tc>
          <w:tcPr>
            <w:tcW w:w="1116" w:type="dxa"/>
            <w:tcBorders>
              <w:top w:val="single" w:sz="4" w:space="0" w:color="auto"/>
              <w:left w:val="nil"/>
              <w:bottom w:val="single" w:sz="4" w:space="0" w:color="auto"/>
              <w:right w:val="single" w:sz="4" w:space="0" w:color="auto"/>
            </w:tcBorders>
            <w:shd w:val="clear" w:color="000000" w:fill="auto"/>
            <w:noWrap/>
            <w:vAlign w:val="center"/>
            <w:hideMark/>
          </w:tcPr>
          <w:p w14:paraId="44B888BA"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90</w:t>
            </w:r>
          </w:p>
        </w:tc>
        <w:tc>
          <w:tcPr>
            <w:tcW w:w="114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662309E"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62%</w:t>
            </w:r>
          </w:p>
        </w:tc>
      </w:tr>
      <w:tr w:rsidR="0089544F" w:rsidRPr="006C60B9" w14:paraId="2BA0B451" w14:textId="77777777" w:rsidTr="005668E0">
        <w:trPr>
          <w:trHeight w:val="2100"/>
        </w:trPr>
        <w:tc>
          <w:tcPr>
            <w:tcW w:w="3975"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27B84532" w14:textId="77777777" w:rsidR="0089544F" w:rsidRPr="006C60B9" w:rsidRDefault="0089544F"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TQ10: Barb is single, and her 2019 taxable income was $100,000, which put her at a 24% marginal tax rate and a tax liability of $18,174. Her employer withheld $19,500 federal income tax for her during the year. Would Barb get a tax refund for her 2019 federal income taxes? (tax bracket table provided)</w:t>
            </w:r>
          </w:p>
        </w:tc>
        <w:tc>
          <w:tcPr>
            <w:tcW w:w="1440" w:type="dxa"/>
            <w:tcBorders>
              <w:top w:val="nil"/>
              <w:left w:val="nil"/>
              <w:bottom w:val="single" w:sz="4" w:space="0" w:color="auto"/>
              <w:right w:val="single" w:sz="4" w:space="0" w:color="auto"/>
            </w:tcBorders>
            <w:shd w:val="clear" w:color="000000" w:fill="auto"/>
            <w:noWrap/>
            <w:vAlign w:val="center"/>
            <w:hideMark/>
          </w:tcPr>
          <w:p w14:paraId="634363AE"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144</w:t>
            </w:r>
          </w:p>
        </w:tc>
        <w:tc>
          <w:tcPr>
            <w:tcW w:w="149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B540638"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99%</w:t>
            </w:r>
          </w:p>
        </w:tc>
        <w:tc>
          <w:tcPr>
            <w:tcW w:w="1116" w:type="dxa"/>
            <w:tcBorders>
              <w:top w:val="nil"/>
              <w:left w:val="nil"/>
              <w:bottom w:val="single" w:sz="4" w:space="0" w:color="auto"/>
              <w:right w:val="single" w:sz="4" w:space="0" w:color="auto"/>
            </w:tcBorders>
            <w:shd w:val="clear" w:color="000000" w:fill="auto"/>
            <w:noWrap/>
            <w:vAlign w:val="center"/>
            <w:hideMark/>
          </w:tcPr>
          <w:p w14:paraId="517F5D6C"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76</w:t>
            </w:r>
          </w:p>
        </w:tc>
        <w:tc>
          <w:tcPr>
            <w:tcW w:w="114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E2FD23A"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52%</w:t>
            </w:r>
          </w:p>
        </w:tc>
      </w:tr>
      <w:tr w:rsidR="0089544F" w:rsidRPr="006C60B9" w14:paraId="404F9FD0" w14:textId="77777777" w:rsidTr="005668E0">
        <w:trPr>
          <w:trHeight w:val="1200"/>
        </w:trPr>
        <w:tc>
          <w:tcPr>
            <w:tcW w:w="3975"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4F325893" w14:textId="77777777" w:rsidR="0089544F" w:rsidRPr="006C60B9" w:rsidRDefault="0089544F"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 xml:space="preserve">TQ11: Andy and Patti Smith are a married couple, and their household taxable income in 2019 was $80,000. What was their federal income tax liability in 2019? </w:t>
            </w:r>
          </w:p>
        </w:tc>
        <w:tc>
          <w:tcPr>
            <w:tcW w:w="1440" w:type="dxa"/>
            <w:tcBorders>
              <w:top w:val="nil"/>
              <w:left w:val="nil"/>
              <w:bottom w:val="single" w:sz="4" w:space="0" w:color="auto"/>
              <w:right w:val="single" w:sz="4" w:space="0" w:color="auto"/>
            </w:tcBorders>
            <w:shd w:val="clear" w:color="000000" w:fill="auto"/>
            <w:noWrap/>
            <w:vAlign w:val="center"/>
            <w:hideMark/>
          </w:tcPr>
          <w:p w14:paraId="597CCE60"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136</w:t>
            </w:r>
          </w:p>
        </w:tc>
        <w:tc>
          <w:tcPr>
            <w:tcW w:w="149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40623F3"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94%</w:t>
            </w:r>
          </w:p>
        </w:tc>
        <w:tc>
          <w:tcPr>
            <w:tcW w:w="1116" w:type="dxa"/>
            <w:tcBorders>
              <w:top w:val="nil"/>
              <w:left w:val="nil"/>
              <w:bottom w:val="single" w:sz="4" w:space="0" w:color="auto"/>
              <w:right w:val="single" w:sz="4" w:space="0" w:color="auto"/>
            </w:tcBorders>
            <w:shd w:val="clear" w:color="000000" w:fill="auto"/>
            <w:noWrap/>
            <w:vAlign w:val="center"/>
            <w:hideMark/>
          </w:tcPr>
          <w:p w14:paraId="1A9DEA69"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24</w:t>
            </w:r>
          </w:p>
        </w:tc>
        <w:tc>
          <w:tcPr>
            <w:tcW w:w="114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7367C69"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17%</w:t>
            </w:r>
          </w:p>
        </w:tc>
      </w:tr>
      <w:tr w:rsidR="0089544F" w:rsidRPr="006C60B9" w14:paraId="2DC8D561" w14:textId="77777777" w:rsidTr="005668E0">
        <w:trPr>
          <w:trHeight w:val="900"/>
        </w:trPr>
        <w:tc>
          <w:tcPr>
            <w:tcW w:w="3975"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49B2B5F8" w14:textId="77777777" w:rsidR="0089544F" w:rsidRPr="006C60B9" w:rsidRDefault="0089544F"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 xml:space="preserve">TQ12: John Jones contributes $5,000 of his salary to his 401(k) in 2019. Is </w:t>
            </w:r>
            <w:proofErr w:type="gramStart"/>
            <w:r w:rsidRPr="006C60B9">
              <w:rPr>
                <w:rFonts w:ascii="Times New Roman" w:eastAsia="Times New Roman" w:hAnsi="Times New Roman" w:cs="Times New Roman"/>
                <w:color w:val="000000"/>
                <w:sz w:val="20"/>
                <w:szCs w:val="20"/>
                <w:lang w:val="en-US"/>
              </w:rPr>
              <w:t>the $5,000 part</w:t>
            </w:r>
            <w:proofErr w:type="gramEnd"/>
            <w:r w:rsidRPr="006C60B9">
              <w:rPr>
                <w:rFonts w:ascii="Times New Roman" w:eastAsia="Times New Roman" w:hAnsi="Times New Roman" w:cs="Times New Roman"/>
                <w:color w:val="000000"/>
                <w:sz w:val="20"/>
                <w:szCs w:val="20"/>
                <w:lang w:val="en-US"/>
              </w:rPr>
              <w:t xml:space="preserve"> of his 2019 federal taxable income?</w:t>
            </w:r>
          </w:p>
        </w:tc>
        <w:tc>
          <w:tcPr>
            <w:tcW w:w="1440" w:type="dxa"/>
            <w:tcBorders>
              <w:top w:val="nil"/>
              <w:left w:val="nil"/>
              <w:bottom w:val="single" w:sz="4" w:space="0" w:color="auto"/>
              <w:right w:val="single" w:sz="4" w:space="0" w:color="auto"/>
            </w:tcBorders>
            <w:shd w:val="clear" w:color="000000" w:fill="auto"/>
            <w:noWrap/>
            <w:vAlign w:val="center"/>
            <w:hideMark/>
          </w:tcPr>
          <w:p w14:paraId="67FBC8E7"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138</w:t>
            </w:r>
          </w:p>
        </w:tc>
        <w:tc>
          <w:tcPr>
            <w:tcW w:w="149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1572FA4"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95%</w:t>
            </w:r>
          </w:p>
        </w:tc>
        <w:tc>
          <w:tcPr>
            <w:tcW w:w="1116" w:type="dxa"/>
            <w:tcBorders>
              <w:top w:val="nil"/>
              <w:left w:val="nil"/>
              <w:bottom w:val="single" w:sz="4" w:space="0" w:color="auto"/>
              <w:right w:val="single" w:sz="4" w:space="0" w:color="auto"/>
            </w:tcBorders>
            <w:shd w:val="clear" w:color="000000" w:fill="auto"/>
            <w:noWrap/>
            <w:vAlign w:val="center"/>
            <w:hideMark/>
          </w:tcPr>
          <w:p w14:paraId="48CB8BBB"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67</w:t>
            </w:r>
          </w:p>
        </w:tc>
        <w:tc>
          <w:tcPr>
            <w:tcW w:w="114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3BC6704"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46%</w:t>
            </w:r>
          </w:p>
        </w:tc>
      </w:tr>
      <w:tr w:rsidR="0089544F" w:rsidRPr="006C60B9" w14:paraId="635F5B30" w14:textId="77777777" w:rsidTr="005668E0">
        <w:trPr>
          <w:trHeight w:val="170"/>
        </w:trPr>
        <w:tc>
          <w:tcPr>
            <w:tcW w:w="3975"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0CAEA450" w14:textId="77777777" w:rsidR="0089544F" w:rsidRPr="006C60B9" w:rsidRDefault="0089544F"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TQ13: John Jones is a long-time shareholder of Apple Inc. In 2019, he received a dividend of $500 from Apple. His 2019 marginal tax rate was 24%. What was the tax rate on the $500 dividend income?</w:t>
            </w:r>
          </w:p>
        </w:tc>
        <w:tc>
          <w:tcPr>
            <w:tcW w:w="1440" w:type="dxa"/>
            <w:tcBorders>
              <w:top w:val="nil"/>
              <w:left w:val="nil"/>
              <w:bottom w:val="single" w:sz="4" w:space="0" w:color="auto"/>
              <w:right w:val="single" w:sz="4" w:space="0" w:color="auto"/>
            </w:tcBorders>
            <w:shd w:val="clear" w:color="000000" w:fill="auto"/>
            <w:noWrap/>
            <w:vAlign w:val="center"/>
            <w:hideMark/>
          </w:tcPr>
          <w:p w14:paraId="22E23BC6"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138</w:t>
            </w:r>
          </w:p>
        </w:tc>
        <w:tc>
          <w:tcPr>
            <w:tcW w:w="149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C1BE2EF"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95%</w:t>
            </w:r>
          </w:p>
        </w:tc>
        <w:tc>
          <w:tcPr>
            <w:tcW w:w="1116" w:type="dxa"/>
            <w:tcBorders>
              <w:top w:val="nil"/>
              <w:left w:val="nil"/>
              <w:bottom w:val="single" w:sz="4" w:space="0" w:color="auto"/>
              <w:right w:val="single" w:sz="4" w:space="0" w:color="auto"/>
            </w:tcBorders>
            <w:shd w:val="clear" w:color="000000" w:fill="auto"/>
            <w:noWrap/>
            <w:vAlign w:val="center"/>
            <w:hideMark/>
          </w:tcPr>
          <w:p w14:paraId="34DDDA05"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40</w:t>
            </w:r>
          </w:p>
        </w:tc>
        <w:tc>
          <w:tcPr>
            <w:tcW w:w="114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E01BA92"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28%</w:t>
            </w:r>
          </w:p>
        </w:tc>
      </w:tr>
      <w:tr w:rsidR="0089544F" w:rsidRPr="006C60B9" w14:paraId="5FF8B7B8" w14:textId="77777777" w:rsidTr="005668E0">
        <w:trPr>
          <w:trHeight w:val="1500"/>
        </w:trPr>
        <w:tc>
          <w:tcPr>
            <w:tcW w:w="3975" w:type="dxa"/>
            <w:tcBorders>
              <w:top w:val="single" w:sz="4" w:space="0" w:color="auto"/>
              <w:left w:val="single" w:sz="4" w:space="0" w:color="auto"/>
              <w:bottom w:val="single" w:sz="4" w:space="0" w:color="auto"/>
              <w:right w:val="single" w:sz="4" w:space="0" w:color="auto"/>
            </w:tcBorders>
            <w:shd w:val="clear" w:color="000000" w:fill="auto"/>
            <w:vAlign w:val="bottom"/>
            <w:hideMark/>
          </w:tcPr>
          <w:p w14:paraId="5C3A2CB5" w14:textId="77777777" w:rsidR="0089544F" w:rsidRPr="006C60B9" w:rsidRDefault="0089544F" w:rsidP="00186583">
            <w:pP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TQ14: John paid college tuition in 2019 of $2,500. John was allowed to either take a $2,500 deduction from his taxable income or take a $2,500 tax credit. Which option would give John the best tax benefit?</w:t>
            </w:r>
          </w:p>
        </w:tc>
        <w:tc>
          <w:tcPr>
            <w:tcW w:w="14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ED207A7"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138</w:t>
            </w:r>
          </w:p>
        </w:tc>
        <w:tc>
          <w:tcPr>
            <w:tcW w:w="149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A7C5ABA"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eastAsia="Times New Roman" w:hAnsi="Times New Roman" w:cs="Times New Roman"/>
                <w:color w:val="000000"/>
                <w:sz w:val="20"/>
                <w:szCs w:val="20"/>
                <w:lang w:val="en-US"/>
              </w:rPr>
              <w:t>95%</w:t>
            </w:r>
          </w:p>
        </w:tc>
        <w:tc>
          <w:tcPr>
            <w:tcW w:w="1116"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FB148DE"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52</w:t>
            </w:r>
          </w:p>
        </w:tc>
        <w:tc>
          <w:tcPr>
            <w:tcW w:w="114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F454870" w14:textId="77777777" w:rsidR="0089544F" w:rsidRPr="006C60B9" w:rsidRDefault="0089544F" w:rsidP="00186583">
            <w:pPr>
              <w:jc w:val="center"/>
              <w:rPr>
                <w:rFonts w:ascii="Times New Roman" w:eastAsia="Times New Roman" w:hAnsi="Times New Roman" w:cs="Times New Roman"/>
                <w:color w:val="000000"/>
                <w:sz w:val="20"/>
                <w:szCs w:val="20"/>
                <w:lang w:val="en-US"/>
              </w:rPr>
            </w:pPr>
            <w:r w:rsidRPr="006C60B9">
              <w:rPr>
                <w:rFonts w:ascii="Times New Roman" w:hAnsi="Times New Roman" w:cs="Times New Roman"/>
                <w:color w:val="000000"/>
                <w:sz w:val="20"/>
                <w:szCs w:val="20"/>
              </w:rPr>
              <w:t>36%</w:t>
            </w:r>
          </w:p>
        </w:tc>
      </w:tr>
    </w:tbl>
    <w:p w14:paraId="25BEE49D" w14:textId="50944DC2" w:rsidR="00B67B6F" w:rsidRPr="006C60B9" w:rsidRDefault="00B67B6F" w:rsidP="00186583">
      <w:pPr>
        <w:rPr>
          <w:rFonts w:ascii="Times New Roman" w:hAnsi="Times New Roman" w:cs="Times New Roman"/>
          <w:sz w:val="20"/>
          <w:szCs w:val="20"/>
          <w:lang w:val="en-US"/>
        </w:rPr>
      </w:pPr>
    </w:p>
    <w:p w14:paraId="7D504971" w14:textId="77777777" w:rsidR="00B67B6F" w:rsidRPr="006C60B9" w:rsidRDefault="00B67B6F" w:rsidP="00186583">
      <w:pPr>
        <w:rPr>
          <w:rFonts w:ascii="Times New Roman" w:hAnsi="Times New Roman" w:cs="Times New Roman"/>
          <w:sz w:val="20"/>
          <w:szCs w:val="20"/>
          <w:lang w:val="en-US"/>
        </w:rPr>
        <w:sectPr w:rsidR="00B67B6F" w:rsidRPr="006C60B9" w:rsidSect="00CA4B1F">
          <w:pgSz w:w="12240" w:h="15840"/>
          <w:pgMar w:top="1440" w:right="1440" w:bottom="1440" w:left="1440" w:header="720" w:footer="720" w:gutter="0"/>
          <w:cols w:space="720"/>
          <w:docGrid w:linePitch="360"/>
        </w:sectPr>
      </w:pPr>
    </w:p>
    <w:p w14:paraId="7CA2BDF2" w14:textId="1BF43B11" w:rsidR="00B67B6F" w:rsidRDefault="00B67B6F" w:rsidP="00186583">
      <w:pPr>
        <w:rPr>
          <w:rFonts w:ascii="Times New Roman" w:hAnsi="Times New Roman" w:cs="Times New Roman"/>
          <w:b/>
          <w:sz w:val="20"/>
          <w:szCs w:val="20"/>
          <w:lang w:val="en-US"/>
        </w:rPr>
      </w:pPr>
      <w:r w:rsidRPr="00263C50">
        <w:rPr>
          <w:rFonts w:ascii="Times New Roman" w:hAnsi="Times New Roman" w:cs="Times New Roman"/>
          <w:b/>
          <w:sz w:val="20"/>
          <w:szCs w:val="20"/>
          <w:lang w:val="en-US"/>
        </w:rPr>
        <w:lastRenderedPageBreak/>
        <w:t>Table 3 Correlation matrix of variables of interest</w:t>
      </w:r>
    </w:p>
    <w:p w14:paraId="04B7C51D" w14:textId="77777777" w:rsidR="00263C50" w:rsidRPr="00263C50" w:rsidRDefault="00263C50" w:rsidP="00186583">
      <w:pPr>
        <w:rPr>
          <w:rFonts w:ascii="Times New Roman" w:hAnsi="Times New Roman" w:cs="Times New Roman"/>
          <w:b/>
          <w:sz w:val="20"/>
          <w:szCs w:val="20"/>
          <w:lang w:val="en-US"/>
        </w:rPr>
      </w:pPr>
    </w:p>
    <w:tbl>
      <w:tblPr>
        <w:tblW w:w="0" w:type="auto"/>
        <w:tblLook w:val="04A0" w:firstRow="1" w:lastRow="0" w:firstColumn="1" w:lastColumn="0" w:noHBand="0" w:noVBand="1"/>
      </w:tblPr>
      <w:tblGrid>
        <w:gridCol w:w="868"/>
        <w:gridCol w:w="597"/>
        <w:gridCol w:w="714"/>
        <w:gridCol w:w="495"/>
        <w:gridCol w:w="611"/>
        <w:gridCol w:w="751"/>
        <w:gridCol w:w="829"/>
        <w:gridCol w:w="634"/>
        <w:gridCol w:w="712"/>
        <w:gridCol w:w="557"/>
        <w:gridCol w:w="483"/>
        <w:gridCol w:w="619"/>
        <w:gridCol w:w="753"/>
        <w:gridCol w:w="868"/>
        <w:gridCol w:w="603"/>
        <w:gridCol w:w="720"/>
        <w:gridCol w:w="541"/>
        <w:gridCol w:w="557"/>
        <w:gridCol w:w="564"/>
      </w:tblGrid>
      <w:tr w:rsidR="0089544F" w:rsidRPr="00263C50" w14:paraId="06C4859D" w14:textId="77777777" w:rsidTr="005668E0">
        <w:trPr>
          <w:trHeight w:val="20"/>
        </w:trPr>
        <w:tc>
          <w:tcPr>
            <w:tcW w:w="0" w:type="auto"/>
            <w:tcBorders>
              <w:top w:val="single" w:sz="4" w:space="0" w:color="auto"/>
              <w:left w:val="nil"/>
              <w:bottom w:val="single" w:sz="4" w:space="0" w:color="auto"/>
              <w:right w:val="nil"/>
            </w:tcBorders>
            <w:shd w:val="clear" w:color="auto" w:fill="auto"/>
            <w:noWrap/>
            <w:tcMar>
              <w:left w:w="72" w:type="dxa"/>
              <w:right w:w="72" w:type="dxa"/>
            </w:tcMar>
            <w:vAlign w:val="bottom"/>
            <w:hideMark/>
          </w:tcPr>
          <w:p w14:paraId="3B3749B5" w14:textId="77777777" w:rsidR="0089544F" w:rsidRPr="00263C50" w:rsidRDefault="0089544F" w:rsidP="00186583">
            <w:pPr>
              <w:rPr>
                <w:rFonts w:ascii="Times New Roman" w:hAnsi="Times New Roman" w:cs="Times New Roman"/>
                <w:spacing w:val="-16"/>
                <w:sz w:val="14"/>
                <w:szCs w:val="14"/>
                <w:lang w:val="en-US"/>
              </w:rPr>
            </w:pPr>
          </w:p>
        </w:tc>
        <w:tc>
          <w:tcPr>
            <w:tcW w:w="0" w:type="auto"/>
            <w:tcBorders>
              <w:top w:val="single" w:sz="4" w:space="0" w:color="auto"/>
              <w:left w:val="nil"/>
              <w:bottom w:val="single" w:sz="4" w:space="0" w:color="auto"/>
              <w:right w:val="nil"/>
            </w:tcBorders>
            <w:vAlign w:val="bottom"/>
          </w:tcPr>
          <w:p w14:paraId="531385EF" w14:textId="77777777" w:rsidR="0089544F" w:rsidRPr="00263C50" w:rsidRDefault="0089544F" w:rsidP="00186583">
            <w:pPr>
              <w:jc w:val="center"/>
              <w:rPr>
                <w:rFonts w:ascii="Times New Roman" w:eastAsia="Times New Roman" w:hAnsi="Times New Roman" w:cs="Times New Roman"/>
                <w:color w:val="000000"/>
                <w:spacing w:val="-16"/>
                <w:sz w:val="14"/>
                <w:szCs w:val="14"/>
                <w:lang w:val="en-US" w:eastAsia="zh-TW"/>
              </w:rPr>
            </w:pPr>
            <w:proofErr w:type="spellStart"/>
            <w:r w:rsidRPr="00263C50">
              <w:rPr>
                <w:rFonts w:ascii="Times New Roman" w:hAnsi="Times New Roman" w:cs="Times New Roman"/>
                <w:color w:val="000000"/>
                <w:sz w:val="14"/>
                <w:szCs w:val="14"/>
              </w:rPr>
              <w:t>TaxLit</w:t>
            </w:r>
            <w:proofErr w:type="spellEnd"/>
          </w:p>
        </w:tc>
        <w:tc>
          <w:tcPr>
            <w:tcW w:w="0" w:type="auto"/>
            <w:tcBorders>
              <w:top w:val="single" w:sz="4" w:space="0" w:color="auto"/>
              <w:left w:val="nil"/>
              <w:bottom w:val="single" w:sz="4" w:space="0" w:color="auto"/>
              <w:right w:val="nil"/>
            </w:tcBorders>
            <w:vAlign w:val="bottom"/>
          </w:tcPr>
          <w:p w14:paraId="2F061238" w14:textId="77777777" w:rsidR="0089544F" w:rsidRPr="00263C50" w:rsidRDefault="0089544F" w:rsidP="00186583">
            <w:pPr>
              <w:jc w:val="center"/>
              <w:rPr>
                <w:rFonts w:ascii="Times New Roman" w:eastAsia="Times New Roman" w:hAnsi="Times New Roman" w:cs="Times New Roman"/>
                <w:color w:val="000000"/>
                <w:spacing w:val="-16"/>
                <w:sz w:val="14"/>
                <w:szCs w:val="14"/>
                <w:lang w:val="en-US" w:eastAsia="zh-TW"/>
              </w:rPr>
            </w:pPr>
            <w:proofErr w:type="spellStart"/>
            <w:r w:rsidRPr="00263C50">
              <w:rPr>
                <w:rFonts w:ascii="Times New Roman" w:hAnsi="Times New Roman" w:cs="Times New Roman"/>
                <w:color w:val="000000"/>
                <w:sz w:val="14"/>
                <w:szCs w:val="14"/>
              </w:rPr>
              <w:t>TaxConf</w:t>
            </w:r>
            <w:proofErr w:type="spellEnd"/>
          </w:p>
        </w:tc>
        <w:tc>
          <w:tcPr>
            <w:tcW w:w="0" w:type="auto"/>
            <w:tcBorders>
              <w:top w:val="single" w:sz="4" w:space="0" w:color="auto"/>
              <w:left w:val="nil"/>
              <w:bottom w:val="single" w:sz="4" w:space="0" w:color="auto"/>
              <w:right w:val="nil"/>
            </w:tcBorders>
            <w:shd w:val="clear" w:color="auto" w:fill="auto"/>
            <w:noWrap/>
            <w:tcMar>
              <w:left w:w="72" w:type="dxa"/>
              <w:right w:w="72" w:type="dxa"/>
            </w:tcMar>
            <w:vAlign w:val="bottom"/>
            <w:hideMark/>
          </w:tcPr>
          <w:p w14:paraId="16F5B381" w14:textId="77777777" w:rsidR="0089544F" w:rsidRPr="00263C50" w:rsidRDefault="0089544F" w:rsidP="00186583">
            <w:pPr>
              <w:jc w:val="center"/>
              <w:rPr>
                <w:rFonts w:ascii="Times New Roman" w:eastAsia="Times New Roman" w:hAnsi="Times New Roman" w:cs="Times New Roman"/>
                <w:color w:val="000000"/>
                <w:spacing w:val="-16"/>
                <w:sz w:val="14"/>
                <w:szCs w:val="14"/>
                <w:lang w:val="en-US" w:eastAsia="zh-TW"/>
              </w:rPr>
            </w:pPr>
            <w:proofErr w:type="spellStart"/>
            <w:r w:rsidRPr="00263C50">
              <w:rPr>
                <w:rFonts w:ascii="Times New Roman" w:hAnsi="Times New Roman" w:cs="Times New Roman"/>
                <w:color w:val="000000"/>
                <w:sz w:val="14"/>
                <w:szCs w:val="14"/>
              </w:rPr>
              <w:t>FinLit</w:t>
            </w:r>
            <w:proofErr w:type="spellEnd"/>
          </w:p>
        </w:tc>
        <w:tc>
          <w:tcPr>
            <w:tcW w:w="0" w:type="auto"/>
            <w:tcBorders>
              <w:top w:val="single" w:sz="4" w:space="0" w:color="auto"/>
              <w:left w:val="nil"/>
              <w:bottom w:val="single" w:sz="4" w:space="0" w:color="auto"/>
              <w:right w:val="nil"/>
            </w:tcBorders>
            <w:shd w:val="clear" w:color="auto" w:fill="auto"/>
            <w:noWrap/>
            <w:tcMar>
              <w:left w:w="72" w:type="dxa"/>
              <w:right w:w="72" w:type="dxa"/>
            </w:tcMar>
            <w:vAlign w:val="bottom"/>
            <w:hideMark/>
          </w:tcPr>
          <w:p w14:paraId="6AF42870" w14:textId="77777777" w:rsidR="0089544F" w:rsidRPr="00263C50" w:rsidRDefault="0089544F" w:rsidP="00186583">
            <w:pPr>
              <w:jc w:val="center"/>
              <w:rPr>
                <w:rFonts w:ascii="Times New Roman" w:eastAsia="Times New Roman" w:hAnsi="Times New Roman" w:cs="Times New Roman"/>
                <w:color w:val="000000"/>
                <w:spacing w:val="-16"/>
                <w:sz w:val="14"/>
                <w:szCs w:val="14"/>
                <w:lang w:val="en-US" w:eastAsia="zh-TW"/>
              </w:rPr>
            </w:pPr>
            <w:proofErr w:type="spellStart"/>
            <w:r w:rsidRPr="00263C50">
              <w:rPr>
                <w:rFonts w:ascii="Times New Roman" w:hAnsi="Times New Roman" w:cs="Times New Roman"/>
                <w:color w:val="000000"/>
                <w:sz w:val="14"/>
                <w:szCs w:val="14"/>
              </w:rPr>
              <w:t>FinConf</w:t>
            </w:r>
            <w:proofErr w:type="spellEnd"/>
          </w:p>
        </w:tc>
        <w:tc>
          <w:tcPr>
            <w:tcW w:w="0" w:type="auto"/>
            <w:tcBorders>
              <w:top w:val="single" w:sz="4" w:space="0" w:color="auto"/>
              <w:left w:val="nil"/>
              <w:bottom w:val="single" w:sz="4" w:space="0" w:color="auto"/>
              <w:right w:val="nil"/>
            </w:tcBorders>
            <w:shd w:val="clear" w:color="auto" w:fill="auto"/>
            <w:noWrap/>
            <w:tcMar>
              <w:left w:w="72" w:type="dxa"/>
              <w:right w:w="72" w:type="dxa"/>
            </w:tcMar>
            <w:vAlign w:val="bottom"/>
            <w:hideMark/>
          </w:tcPr>
          <w:p w14:paraId="33C042F4" w14:textId="77777777" w:rsidR="0089544F" w:rsidRPr="00263C50" w:rsidRDefault="0089544F" w:rsidP="00186583">
            <w:pPr>
              <w:jc w:val="center"/>
              <w:rPr>
                <w:rFonts w:ascii="Times New Roman" w:hAnsi="Times New Roman" w:cs="Times New Roman"/>
                <w:color w:val="000000"/>
                <w:spacing w:val="-16"/>
                <w:sz w:val="14"/>
                <w:szCs w:val="14"/>
                <w:lang w:val="en-US"/>
              </w:rPr>
            </w:pPr>
            <w:proofErr w:type="spellStart"/>
            <w:r w:rsidRPr="00263C50">
              <w:rPr>
                <w:rFonts w:ascii="Times New Roman" w:hAnsi="Times New Roman" w:cs="Times New Roman"/>
                <w:color w:val="000000"/>
                <w:sz w:val="14"/>
                <w:szCs w:val="14"/>
              </w:rPr>
              <w:t>IntroAcctg</w:t>
            </w:r>
            <w:proofErr w:type="spellEnd"/>
          </w:p>
        </w:tc>
        <w:tc>
          <w:tcPr>
            <w:tcW w:w="0" w:type="auto"/>
            <w:tcBorders>
              <w:top w:val="single" w:sz="4" w:space="0" w:color="auto"/>
              <w:left w:val="nil"/>
              <w:bottom w:val="single" w:sz="4" w:space="0" w:color="auto"/>
              <w:right w:val="nil"/>
            </w:tcBorders>
            <w:shd w:val="clear" w:color="auto" w:fill="auto"/>
            <w:noWrap/>
            <w:tcMar>
              <w:left w:w="72" w:type="dxa"/>
              <w:right w:w="72" w:type="dxa"/>
            </w:tcMar>
            <w:vAlign w:val="bottom"/>
            <w:hideMark/>
          </w:tcPr>
          <w:p w14:paraId="71D564A0" w14:textId="77777777" w:rsidR="0089544F" w:rsidRPr="00263C50" w:rsidRDefault="0089544F" w:rsidP="00186583">
            <w:pPr>
              <w:jc w:val="center"/>
              <w:rPr>
                <w:rFonts w:ascii="Times New Roman" w:hAnsi="Times New Roman" w:cs="Times New Roman"/>
                <w:color w:val="000000"/>
                <w:spacing w:val="-16"/>
                <w:sz w:val="14"/>
                <w:szCs w:val="14"/>
                <w:lang w:val="en-US"/>
              </w:rPr>
            </w:pPr>
            <w:proofErr w:type="spellStart"/>
            <w:r w:rsidRPr="00263C50">
              <w:rPr>
                <w:rFonts w:ascii="Times New Roman" w:hAnsi="Times New Roman" w:cs="Times New Roman"/>
                <w:color w:val="000000"/>
                <w:sz w:val="14"/>
                <w:szCs w:val="14"/>
              </w:rPr>
              <w:t>UpperAcctg</w:t>
            </w:r>
            <w:proofErr w:type="spellEnd"/>
          </w:p>
        </w:tc>
        <w:tc>
          <w:tcPr>
            <w:tcW w:w="0" w:type="auto"/>
            <w:tcBorders>
              <w:top w:val="single" w:sz="4" w:space="0" w:color="auto"/>
              <w:left w:val="nil"/>
              <w:bottom w:val="single" w:sz="4" w:space="0" w:color="auto"/>
              <w:right w:val="nil"/>
            </w:tcBorders>
            <w:shd w:val="clear" w:color="auto" w:fill="auto"/>
            <w:noWrap/>
            <w:tcMar>
              <w:left w:w="72" w:type="dxa"/>
              <w:right w:w="72" w:type="dxa"/>
            </w:tcMar>
            <w:vAlign w:val="bottom"/>
            <w:hideMark/>
          </w:tcPr>
          <w:p w14:paraId="22825419" w14:textId="77777777" w:rsidR="0089544F" w:rsidRPr="00263C50" w:rsidRDefault="0089544F" w:rsidP="00186583">
            <w:pPr>
              <w:jc w:val="center"/>
              <w:rPr>
                <w:rFonts w:ascii="Times New Roman" w:hAnsi="Times New Roman" w:cs="Times New Roman"/>
                <w:color w:val="000000"/>
                <w:spacing w:val="-16"/>
                <w:sz w:val="14"/>
                <w:szCs w:val="14"/>
                <w:lang w:val="en-US"/>
              </w:rPr>
            </w:pPr>
            <w:proofErr w:type="spellStart"/>
            <w:r w:rsidRPr="00263C50">
              <w:rPr>
                <w:rFonts w:ascii="Times New Roman" w:hAnsi="Times New Roman" w:cs="Times New Roman"/>
                <w:color w:val="000000"/>
                <w:sz w:val="14"/>
                <w:szCs w:val="14"/>
              </w:rPr>
              <w:t>IntroTax</w:t>
            </w:r>
            <w:proofErr w:type="spellEnd"/>
          </w:p>
        </w:tc>
        <w:tc>
          <w:tcPr>
            <w:tcW w:w="0" w:type="auto"/>
            <w:tcBorders>
              <w:top w:val="single" w:sz="4" w:space="0" w:color="auto"/>
              <w:left w:val="nil"/>
              <w:bottom w:val="single" w:sz="4" w:space="0" w:color="auto"/>
              <w:right w:val="nil"/>
            </w:tcBorders>
            <w:shd w:val="clear" w:color="auto" w:fill="auto"/>
            <w:noWrap/>
            <w:tcMar>
              <w:left w:w="72" w:type="dxa"/>
              <w:right w:w="72" w:type="dxa"/>
            </w:tcMar>
            <w:vAlign w:val="bottom"/>
            <w:hideMark/>
          </w:tcPr>
          <w:p w14:paraId="7CE1143A" w14:textId="77777777" w:rsidR="0089544F" w:rsidRPr="00263C50" w:rsidRDefault="0089544F" w:rsidP="00186583">
            <w:pPr>
              <w:jc w:val="center"/>
              <w:rPr>
                <w:rFonts w:ascii="Times New Roman" w:hAnsi="Times New Roman" w:cs="Times New Roman"/>
                <w:color w:val="000000"/>
                <w:spacing w:val="-16"/>
                <w:sz w:val="14"/>
                <w:szCs w:val="14"/>
                <w:lang w:val="en-US"/>
              </w:rPr>
            </w:pPr>
            <w:proofErr w:type="spellStart"/>
            <w:r w:rsidRPr="00263C50">
              <w:rPr>
                <w:rFonts w:ascii="Times New Roman" w:hAnsi="Times New Roman" w:cs="Times New Roman"/>
                <w:color w:val="000000"/>
                <w:sz w:val="14"/>
                <w:szCs w:val="14"/>
              </w:rPr>
              <w:t>UpperTax</w:t>
            </w:r>
            <w:proofErr w:type="spellEnd"/>
          </w:p>
        </w:tc>
        <w:tc>
          <w:tcPr>
            <w:tcW w:w="0" w:type="auto"/>
            <w:tcBorders>
              <w:top w:val="single" w:sz="4" w:space="0" w:color="auto"/>
              <w:left w:val="nil"/>
              <w:bottom w:val="single" w:sz="4" w:space="0" w:color="auto"/>
              <w:right w:val="nil"/>
            </w:tcBorders>
            <w:shd w:val="clear" w:color="auto" w:fill="auto"/>
            <w:noWrap/>
            <w:tcMar>
              <w:left w:w="72" w:type="dxa"/>
              <w:right w:w="72" w:type="dxa"/>
            </w:tcMar>
            <w:vAlign w:val="bottom"/>
            <w:hideMark/>
          </w:tcPr>
          <w:p w14:paraId="61D1EA68" w14:textId="77777777" w:rsidR="0089544F" w:rsidRPr="00263C50" w:rsidRDefault="0089544F" w:rsidP="00186583">
            <w:pPr>
              <w:jc w:val="center"/>
              <w:rPr>
                <w:rFonts w:ascii="Times New Roman" w:hAnsi="Times New Roman" w:cs="Times New Roman"/>
                <w:color w:val="000000"/>
                <w:spacing w:val="-16"/>
                <w:sz w:val="14"/>
                <w:szCs w:val="14"/>
                <w:lang w:val="en-US"/>
              </w:rPr>
            </w:pPr>
            <w:r w:rsidRPr="00263C50">
              <w:rPr>
                <w:rFonts w:ascii="Times New Roman" w:hAnsi="Times New Roman" w:cs="Times New Roman"/>
                <w:color w:val="000000"/>
                <w:sz w:val="14"/>
                <w:szCs w:val="14"/>
              </w:rPr>
              <w:t>Gender</w:t>
            </w:r>
          </w:p>
        </w:tc>
        <w:tc>
          <w:tcPr>
            <w:tcW w:w="0" w:type="auto"/>
            <w:tcBorders>
              <w:top w:val="single" w:sz="4" w:space="0" w:color="auto"/>
              <w:left w:val="nil"/>
              <w:bottom w:val="single" w:sz="4" w:space="0" w:color="auto"/>
              <w:right w:val="nil"/>
            </w:tcBorders>
            <w:shd w:val="clear" w:color="auto" w:fill="auto"/>
            <w:noWrap/>
            <w:tcMar>
              <w:left w:w="72" w:type="dxa"/>
              <w:right w:w="72" w:type="dxa"/>
            </w:tcMar>
            <w:vAlign w:val="bottom"/>
            <w:hideMark/>
          </w:tcPr>
          <w:p w14:paraId="4D1A8301" w14:textId="77777777" w:rsidR="0089544F" w:rsidRPr="00263C50" w:rsidRDefault="0089544F" w:rsidP="00186583">
            <w:pPr>
              <w:jc w:val="center"/>
              <w:rPr>
                <w:rFonts w:ascii="Times New Roman" w:hAnsi="Times New Roman" w:cs="Times New Roman"/>
                <w:color w:val="000000"/>
                <w:spacing w:val="-16"/>
                <w:sz w:val="14"/>
                <w:szCs w:val="14"/>
                <w:lang w:val="en-US"/>
              </w:rPr>
            </w:pPr>
            <w:r w:rsidRPr="00263C50">
              <w:rPr>
                <w:rFonts w:ascii="Times New Roman" w:hAnsi="Times New Roman" w:cs="Times New Roman"/>
                <w:color w:val="000000"/>
                <w:sz w:val="14"/>
                <w:szCs w:val="14"/>
              </w:rPr>
              <w:t>Age</w:t>
            </w:r>
          </w:p>
        </w:tc>
        <w:tc>
          <w:tcPr>
            <w:tcW w:w="0" w:type="auto"/>
            <w:tcBorders>
              <w:top w:val="single" w:sz="4" w:space="0" w:color="auto"/>
              <w:left w:val="nil"/>
              <w:bottom w:val="single" w:sz="4" w:space="0" w:color="auto"/>
              <w:right w:val="nil"/>
            </w:tcBorders>
            <w:shd w:val="clear" w:color="auto" w:fill="auto"/>
            <w:noWrap/>
            <w:tcMar>
              <w:left w:w="72" w:type="dxa"/>
              <w:right w:w="72" w:type="dxa"/>
            </w:tcMar>
            <w:vAlign w:val="bottom"/>
            <w:hideMark/>
          </w:tcPr>
          <w:p w14:paraId="0D20946F" w14:textId="77777777" w:rsidR="0089544F" w:rsidRPr="00263C50" w:rsidRDefault="0089544F" w:rsidP="00186583">
            <w:pPr>
              <w:jc w:val="center"/>
              <w:rPr>
                <w:rFonts w:ascii="Times New Roman" w:hAnsi="Times New Roman" w:cs="Times New Roman"/>
                <w:color w:val="000000"/>
                <w:spacing w:val="-16"/>
                <w:sz w:val="14"/>
                <w:szCs w:val="14"/>
                <w:lang w:val="en-US"/>
              </w:rPr>
            </w:pPr>
            <w:proofErr w:type="spellStart"/>
            <w:r w:rsidRPr="00263C50">
              <w:rPr>
                <w:rFonts w:ascii="Times New Roman" w:hAnsi="Times New Roman" w:cs="Times New Roman"/>
                <w:color w:val="000000"/>
                <w:sz w:val="14"/>
                <w:szCs w:val="14"/>
              </w:rPr>
              <w:t>WrkExp</w:t>
            </w:r>
            <w:proofErr w:type="spellEnd"/>
          </w:p>
        </w:tc>
        <w:tc>
          <w:tcPr>
            <w:tcW w:w="0" w:type="auto"/>
            <w:tcBorders>
              <w:top w:val="single" w:sz="4" w:space="0" w:color="auto"/>
              <w:left w:val="nil"/>
              <w:bottom w:val="single" w:sz="4" w:space="0" w:color="auto"/>
              <w:right w:val="nil"/>
            </w:tcBorders>
            <w:vAlign w:val="bottom"/>
          </w:tcPr>
          <w:p w14:paraId="35EB1C59" w14:textId="77777777" w:rsidR="0089544F" w:rsidRPr="00263C50" w:rsidRDefault="0089544F" w:rsidP="00186583">
            <w:pPr>
              <w:jc w:val="center"/>
              <w:rPr>
                <w:rFonts w:ascii="Times New Roman" w:hAnsi="Times New Roman" w:cs="Times New Roman"/>
                <w:color w:val="000000"/>
                <w:spacing w:val="-16"/>
                <w:sz w:val="14"/>
                <w:szCs w:val="14"/>
                <w:lang w:val="en-US"/>
              </w:rPr>
            </w:pPr>
            <w:proofErr w:type="spellStart"/>
            <w:r w:rsidRPr="00263C50">
              <w:rPr>
                <w:rFonts w:ascii="Times New Roman" w:hAnsi="Times New Roman" w:cs="Times New Roman"/>
                <w:color w:val="000000"/>
                <w:sz w:val="14"/>
                <w:szCs w:val="14"/>
              </w:rPr>
              <w:t>PaperFile</w:t>
            </w:r>
            <w:proofErr w:type="spellEnd"/>
          </w:p>
        </w:tc>
        <w:tc>
          <w:tcPr>
            <w:tcW w:w="0" w:type="auto"/>
            <w:tcBorders>
              <w:top w:val="single" w:sz="4" w:space="0" w:color="auto"/>
              <w:left w:val="nil"/>
              <w:bottom w:val="single" w:sz="4" w:space="0" w:color="auto"/>
              <w:right w:val="nil"/>
            </w:tcBorders>
            <w:shd w:val="clear" w:color="auto" w:fill="auto"/>
            <w:noWrap/>
            <w:tcMar>
              <w:left w:w="72" w:type="dxa"/>
              <w:right w:w="72" w:type="dxa"/>
            </w:tcMar>
            <w:vAlign w:val="bottom"/>
            <w:hideMark/>
          </w:tcPr>
          <w:p w14:paraId="17AB5AC0" w14:textId="77777777" w:rsidR="0089544F" w:rsidRPr="00263C50" w:rsidRDefault="0089544F" w:rsidP="00186583">
            <w:pPr>
              <w:jc w:val="center"/>
              <w:rPr>
                <w:rFonts w:ascii="Times New Roman" w:hAnsi="Times New Roman" w:cs="Times New Roman"/>
                <w:color w:val="000000"/>
                <w:spacing w:val="-16"/>
                <w:sz w:val="14"/>
                <w:szCs w:val="14"/>
                <w:lang w:val="en-US"/>
              </w:rPr>
            </w:pPr>
            <w:proofErr w:type="spellStart"/>
            <w:r w:rsidRPr="00263C50">
              <w:rPr>
                <w:rFonts w:ascii="Times New Roman" w:hAnsi="Times New Roman" w:cs="Times New Roman"/>
                <w:color w:val="000000"/>
                <w:sz w:val="14"/>
                <w:szCs w:val="14"/>
              </w:rPr>
              <w:t>SoftwareFile</w:t>
            </w:r>
            <w:proofErr w:type="spellEnd"/>
          </w:p>
        </w:tc>
        <w:tc>
          <w:tcPr>
            <w:tcW w:w="0" w:type="auto"/>
            <w:tcBorders>
              <w:top w:val="single" w:sz="4" w:space="0" w:color="auto"/>
              <w:left w:val="nil"/>
              <w:bottom w:val="single" w:sz="4" w:space="0" w:color="auto"/>
              <w:right w:val="nil"/>
            </w:tcBorders>
            <w:shd w:val="clear" w:color="auto" w:fill="auto"/>
            <w:noWrap/>
            <w:tcMar>
              <w:left w:w="72" w:type="dxa"/>
              <w:right w:w="72" w:type="dxa"/>
            </w:tcMar>
            <w:vAlign w:val="bottom"/>
            <w:hideMark/>
          </w:tcPr>
          <w:p w14:paraId="23C5381E" w14:textId="77777777" w:rsidR="0089544F" w:rsidRPr="00263C50" w:rsidRDefault="0089544F" w:rsidP="00186583">
            <w:pPr>
              <w:jc w:val="center"/>
              <w:rPr>
                <w:rFonts w:ascii="Times New Roman" w:hAnsi="Times New Roman" w:cs="Times New Roman"/>
                <w:color w:val="000000"/>
                <w:spacing w:val="-16"/>
                <w:sz w:val="14"/>
                <w:szCs w:val="14"/>
                <w:lang w:val="en-US"/>
              </w:rPr>
            </w:pPr>
            <w:proofErr w:type="spellStart"/>
            <w:r w:rsidRPr="00263C50">
              <w:rPr>
                <w:rFonts w:ascii="Times New Roman" w:hAnsi="Times New Roman" w:cs="Times New Roman"/>
                <w:color w:val="000000"/>
                <w:sz w:val="14"/>
                <w:szCs w:val="14"/>
              </w:rPr>
              <w:t>ProfFile</w:t>
            </w:r>
            <w:proofErr w:type="spellEnd"/>
          </w:p>
        </w:tc>
        <w:tc>
          <w:tcPr>
            <w:tcW w:w="0" w:type="auto"/>
            <w:tcBorders>
              <w:top w:val="single" w:sz="4" w:space="0" w:color="auto"/>
              <w:left w:val="nil"/>
              <w:bottom w:val="single" w:sz="4" w:space="0" w:color="auto"/>
              <w:right w:val="nil"/>
            </w:tcBorders>
            <w:shd w:val="clear" w:color="auto" w:fill="auto"/>
            <w:noWrap/>
            <w:tcMar>
              <w:left w:w="72" w:type="dxa"/>
              <w:right w:w="72" w:type="dxa"/>
            </w:tcMar>
            <w:vAlign w:val="bottom"/>
            <w:hideMark/>
          </w:tcPr>
          <w:p w14:paraId="60068B7F" w14:textId="77777777" w:rsidR="0089544F" w:rsidRPr="00263C50" w:rsidRDefault="0089544F" w:rsidP="00186583">
            <w:pPr>
              <w:jc w:val="center"/>
              <w:rPr>
                <w:rFonts w:ascii="Times New Roman" w:hAnsi="Times New Roman" w:cs="Times New Roman"/>
                <w:color w:val="000000"/>
                <w:spacing w:val="-16"/>
                <w:sz w:val="14"/>
                <w:szCs w:val="14"/>
                <w:lang w:val="en-US"/>
              </w:rPr>
            </w:pPr>
            <w:proofErr w:type="spellStart"/>
            <w:r w:rsidRPr="00263C50">
              <w:rPr>
                <w:rFonts w:ascii="Times New Roman" w:hAnsi="Times New Roman" w:cs="Times New Roman"/>
                <w:color w:val="000000"/>
                <w:sz w:val="14"/>
                <w:szCs w:val="14"/>
              </w:rPr>
              <w:t>ParentFile</w:t>
            </w:r>
            <w:proofErr w:type="spellEnd"/>
          </w:p>
        </w:tc>
        <w:tc>
          <w:tcPr>
            <w:tcW w:w="0" w:type="auto"/>
            <w:tcBorders>
              <w:top w:val="single" w:sz="4" w:space="0" w:color="auto"/>
              <w:left w:val="nil"/>
              <w:bottom w:val="single" w:sz="4" w:space="0" w:color="auto"/>
              <w:right w:val="nil"/>
            </w:tcBorders>
            <w:shd w:val="clear" w:color="auto" w:fill="auto"/>
            <w:noWrap/>
            <w:tcMar>
              <w:left w:w="72" w:type="dxa"/>
              <w:right w:w="72" w:type="dxa"/>
            </w:tcMar>
            <w:vAlign w:val="bottom"/>
            <w:hideMark/>
          </w:tcPr>
          <w:p w14:paraId="7622749B" w14:textId="77777777" w:rsidR="0089544F" w:rsidRPr="00263C50" w:rsidRDefault="0089544F" w:rsidP="00186583">
            <w:pPr>
              <w:jc w:val="center"/>
              <w:rPr>
                <w:rFonts w:ascii="Times New Roman" w:hAnsi="Times New Roman" w:cs="Times New Roman"/>
                <w:color w:val="000000"/>
                <w:spacing w:val="-16"/>
                <w:sz w:val="14"/>
                <w:szCs w:val="14"/>
                <w:lang w:val="en-US"/>
              </w:rPr>
            </w:pPr>
            <w:r w:rsidRPr="00263C50">
              <w:rPr>
                <w:rFonts w:ascii="Times New Roman" w:hAnsi="Times New Roman" w:cs="Times New Roman"/>
                <w:color w:val="000000"/>
                <w:sz w:val="14"/>
                <w:szCs w:val="14"/>
              </w:rPr>
              <w:t>Family</w:t>
            </w:r>
          </w:p>
        </w:tc>
        <w:tc>
          <w:tcPr>
            <w:tcW w:w="0" w:type="auto"/>
            <w:tcBorders>
              <w:top w:val="single" w:sz="4" w:space="0" w:color="auto"/>
              <w:left w:val="nil"/>
              <w:bottom w:val="single" w:sz="4" w:space="0" w:color="auto"/>
              <w:right w:val="nil"/>
            </w:tcBorders>
            <w:shd w:val="clear" w:color="auto" w:fill="auto"/>
            <w:noWrap/>
            <w:tcMar>
              <w:left w:w="72" w:type="dxa"/>
              <w:right w:w="72" w:type="dxa"/>
            </w:tcMar>
            <w:vAlign w:val="bottom"/>
            <w:hideMark/>
          </w:tcPr>
          <w:p w14:paraId="22E0469C" w14:textId="77777777" w:rsidR="0089544F" w:rsidRPr="00263C50" w:rsidRDefault="0089544F" w:rsidP="00186583">
            <w:pPr>
              <w:jc w:val="center"/>
              <w:rPr>
                <w:rFonts w:ascii="Times New Roman" w:hAnsi="Times New Roman" w:cs="Times New Roman"/>
                <w:color w:val="000000"/>
                <w:spacing w:val="-16"/>
                <w:sz w:val="14"/>
                <w:szCs w:val="14"/>
                <w:lang w:val="en-US"/>
              </w:rPr>
            </w:pPr>
            <w:proofErr w:type="spellStart"/>
            <w:r w:rsidRPr="00263C50">
              <w:rPr>
                <w:rFonts w:ascii="Times New Roman" w:hAnsi="Times New Roman" w:cs="Times New Roman"/>
                <w:color w:val="000000"/>
                <w:sz w:val="14"/>
                <w:szCs w:val="14"/>
              </w:rPr>
              <w:t>FinExp</w:t>
            </w:r>
            <w:proofErr w:type="spellEnd"/>
          </w:p>
        </w:tc>
        <w:tc>
          <w:tcPr>
            <w:tcW w:w="0" w:type="auto"/>
            <w:tcBorders>
              <w:top w:val="single" w:sz="4" w:space="0" w:color="auto"/>
              <w:left w:val="nil"/>
              <w:bottom w:val="single" w:sz="4" w:space="0" w:color="auto"/>
              <w:right w:val="nil"/>
            </w:tcBorders>
            <w:shd w:val="clear" w:color="auto" w:fill="auto"/>
            <w:noWrap/>
            <w:tcMar>
              <w:left w:w="72" w:type="dxa"/>
              <w:right w:w="72" w:type="dxa"/>
            </w:tcMar>
            <w:vAlign w:val="bottom"/>
            <w:hideMark/>
          </w:tcPr>
          <w:p w14:paraId="1101A285" w14:textId="77777777" w:rsidR="0089544F" w:rsidRPr="00263C50" w:rsidRDefault="0089544F" w:rsidP="00186583">
            <w:pPr>
              <w:jc w:val="center"/>
              <w:rPr>
                <w:rFonts w:ascii="Times New Roman" w:hAnsi="Times New Roman" w:cs="Times New Roman"/>
                <w:color w:val="000000"/>
                <w:spacing w:val="-16"/>
                <w:sz w:val="14"/>
                <w:szCs w:val="14"/>
                <w:lang w:val="en-US"/>
              </w:rPr>
            </w:pPr>
            <w:r w:rsidRPr="00263C50">
              <w:rPr>
                <w:rFonts w:ascii="Times New Roman" w:hAnsi="Times New Roman" w:cs="Times New Roman"/>
                <w:color w:val="000000"/>
                <w:sz w:val="14"/>
                <w:szCs w:val="14"/>
              </w:rPr>
              <w:t>Income</w:t>
            </w:r>
          </w:p>
        </w:tc>
      </w:tr>
      <w:tr w:rsidR="0089544F" w:rsidRPr="00263C50" w14:paraId="7761C7F0"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tcPr>
          <w:p w14:paraId="3C467B7A" w14:textId="77777777" w:rsidR="0089544F" w:rsidRPr="00263C50" w:rsidRDefault="0089544F" w:rsidP="00186583">
            <w:pPr>
              <w:rPr>
                <w:rFonts w:ascii="Times New Roman" w:hAnsi="Times New Roman" w:cs="Times New Roman"/>
                <w:color w:val="000000"/>
                <w:sz w:val="14"/>
                <w:szCs w:val="14"/>
                <w:lang w:val="en-US"/>
              </w:rPr>
            </w:pPr>
            <w:proofErr w:type="spellStart"/>
            <w:r w:rsidRPr="00263C50">
              <w:rPr>
                <w:rFonts w:ascii="Times New Roman" w:hAnsi="Times New Roman" w:cs="Times New Roman"/>
                <w:color w:val="000000"/>
                <w:sz w:val="14"/>
                <w:szCs w:val="14"/>
              </w:rPr>
              <w:t>TaxLit</w:t>
            </w:r>
            <w:proofErr w:type="spellEnd"/>
          </w:p>
        </w:tc>
        <w:tc>
          <w:tcPr>
            <w:tcW w:w="0" w:type="auto"/>
            <w:tcBorders>
              <w:top w:val="nil"/>
              <w:left w:val="nil"/>
              <w:bottom w:val="nil"/>
              <w:right w:val="nil"/>
            </w:tcBorders>
            <w:vAlign w:val="bottom"/>
          </w:tcPr>
          <w:p w14:paraId="76FBCDE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vAlign w:val="bottom"/>
          </w:tcPr>
          <w:p w14:paraId="3518492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7FBA41D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277CC08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77F3CD5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5F1986E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715A29E8"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2B069421"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366D90BA"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24560823"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1382F505"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21FE6D2D"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38AF1F34"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314CEF26"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6F7F55CD"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030B80E1"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6B5BDE53"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3E6D04E6"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6D066EF6"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tcPr>
          <w:p w14:paraId="7D4040F6" w14:textId="77777777" w:rsidR="0089544F" w:rsidRPr="00263C50" w:rsidRDefault="0089544F" w:rsidP="00186583">
            <w:pPr>
              <w:rPr>
                <w:rFonts w:ascii="Times New Roman" w:hAnsi="Times New Roman" w:cs="Times New Roman"/>
                <w:color w:val="000000"/>
                <w:sz w:val="14"/>
                <w:szCs w:val="14"/>
                <w:lang w:val="en-US"/>
              </w:rPr>
            </w:pPr>
          </w:p>
        </w:tc>
        <w:tc>
          <w:tcPr>
            <w:tcW w:w="0" w:type="auto"/>
            <w:tcBorders>
              <w:top w:val="nil"/>
              <w:left w:val="nil"/>
              <w:bottom w:val="nil"/>
              <w:right w:val="nil"/>
            </w:tcBorders>
            <w:vAlign w:val="bottom"/>
          </w:tcPr>
          <w:p w14:paraId="25092A7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vAlign w:val="bottom"/>
          </w:tcPr>
          <w:p w14:paraId="6BAEA58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2611939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0B572C5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2A4DF44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0BA22C3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67878961"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55AE460C"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19C22536"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481A3CD8"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319CF519"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6D73969F"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06664A1A"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1D357022"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261B9408"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0B0ABBEB"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35D7E503"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3679783C"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34325711"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tcPr>
          <w:p w14:paraId="2ADBB30D" w14:textId="77777777" w:rsidR="0089544F" w:rsidRPr="00263C50" w:rsidRDefault="0089544F" w:rsidP="00186583">
            <w:pPr>
              <w:rPr>
                <w:rFonts w:ascii="Times New Roman" w:hAnsi="Times New Roman" w:cs="Times New Roman"/>
                <w:color w:val="000000"/>
                <w:sz w:val="14"/>
                <w:szCs w:val="14"/>
                <w:lang w:val="en-US"/>
              </w:rPr>
            </w:pPr>
            <w:proofErr w:type="spellStart"/>
            <w:r w:rsidRPr="00263C50">
              <w:rPr>
                <w:rFonts w:ascii="Times New Roman" w:hAnsi="Times New Roman" w:cs="Times New Roman"/>
                <w:color w:val="000000"/>
                <w:sz w:val="14"/>
                <w:szCs w:val="14"/>
              </w:rPr>
              <w:t>TaxConf</w:t>
            </w:r>
            <w:proofErr w:type="spellEnd"/>
          </w:p>
        </w:tc>
        <w:tc>
          <w:tcPr>
            <w:tcW w:w="0" w:type="auto"/>
            <w:tcBorders>
              <w:top w:val="nil"/>
              <w:left w:val="nil"/>
              <w:bottom w:val="nil"/>
              <w:right w:val="nil"/>
            </w:tcBorders>
            <w:vAlign w:val="bottom"/>
          </w:tcPr>
          <w:p w14:paraId="4970D1E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0.50</w:t>
            </w:r>
          </w:p>
        </w:tc>
        <w:tc>
          <w:tcPr>
            <w:tcW w:w="0" w:type="auto"/>
            <w:tcBorders>
              <w:top w:val="nil"/>
              <w:left w:val="nil"/>
              <w:bottom w:val="nil"/>
              <w:right w:val="nil"/>
            </w:tcBorders>
            <w:vAlign w:val="bottom"/>
          </w:tcPr>
          <w:p w14:paraId="0831CFD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shd w:val="clear" w:color="auto" w:fill="auto"/>
            <w:noWrap/>
            <w:tcMar>
              <w:left w:w="72" w:type="dxa"/>
              <w:right w:w="72" w:type="dxa"/>
            </w:tcMar>
            <w:vAlign w:val="bottom"/>
          </w:tcPr>
          <w:p w14:paraId="79FEDF5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41CAF8F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22BD754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5949911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765101B0"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1CBABC51"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42D7412C"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56EC1557"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39FB9B13"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0478F409"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2F369F5D"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5D8C7F10"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71F35F34"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2098384B"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0AB44607"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40EF3789"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21015DEF"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tcPr>
          <w:p w14:paraId="0A42E7EB" w14:textId="77777777" w:rsidR="0089544F" w:rsidRPr="00263C50" w:rsidRDefault="0089544F" w:rsidP="00186583">
            <w:pPr>
              <w:rPr>
                <w:rFonts w:ascii="Times New Roman" w:hAnsi="Times New Roman" w:cs="Times New Roman"/>
                <w:color w:val="000000"/>
                <w:sz w:val="14"/>
                <w:szCs w:val="14"/>
                <w:lang w:val="en-US"/>
              </w:rPr>
            </w:pPr>
          </w:p>
        </w:tc>
        <w:tc>
          <w:tcPr>
            <w:tcW w:w="0" w:type="auto"/>
            <w:tcBorders>
              <w:top w:val="nil"/>
              <w:left w:val="nil"/>
              <w:bottom w:val="nil"/>
              <w:right w:val="nil"/>
            </w:tcBorders>
            <w:vAlign w:val="bottom"/>
          </w:tcPr>
          <w:p w14:paraId="43C7D37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vAlign w:val="bottom"/>
          </w:tcPr>
          <w:p w14:paraId="6407BBA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17B66CC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4C76EA5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0909480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441DEDE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4B3C357E"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5FDD11AA"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3EFBA05E"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5644086B"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0B03DBA6"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2E0E1C90"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6E6A8F0F"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08FF2EFC"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40BA28D4"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40BD1818"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31522AB5"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383D415D"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3A0E3194"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tcPr>
          <w:p w14:paraId="4C7D68CC" w14:textId="77777777" w:rsidR="0089544F" w:rsidRPr="00263C50" w:rsidRDefault="0089544F" w:rsidP="00186583">
            <w:pPr>
              <w:rPr>
                <w:rFonts w:ascii="Times New Roman" w:hAnsi="Times New Roman" w:cs="Times New Roman"/>
                <w:color w:val="000000"/>
                <w:sz w:val="14"/>
                <w:szCs w:val="14"/>
                <w:lang w:val="en-US"/>
              </w:rPr>
            </w:pPr>
            <w:proofErr w:type="spellStart"/>
            <w:r w:rsidRPr="00263C50">
              <w:rPr>
                <w:rFonts w:ascii="Times New Roman" w:hAnsi="Times New Roman" w:cs="Times New Roman"/>
                <w:color w:val="000000"/>
                <w:sz w:val="14"/>
                <w:szCs w:val="14"/>
              </w:rPr>
              <w:t>FinLit</w:t>
            </w:r>
            <w:proofErr w:type="spellEnd"/>
          </w:p>
        </w:tc>
        <w:tc>
          <w:tcPr>
            <w:tcW w:w="0" w:type="auto"/>
            <w:tcBorders>
              <w:top w:val="nil"/>
              <w:left w:val="nil"/>
              <w:bottom w:val="nil"/>
              <w:right w:val="nil"/>
            </w:tcBorders>
            <w:vAlign w:val="bottom"/>
          </w:tcPr>
          <w:p w14:paraId="022A453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0.54</w:t>
            </w:r>
          </w:p>
        </w:tc>
        <w:tc>
          <w:tcPr>
            <w:tcW w:w="0" w:type="auto"/>
            <w:tcBorders>
              <w:top w:val="nil"/>
              <w:left w:val="nil"/>
              <w:bottom w:val="nil"/>
              <w:right w:val="nil"/>
            </w:tcBorders>
            <w:vAlign w:val="bottom"/>
          </w:tcPr>
          <w:p w14:paraId="2AACE53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0.28</w:t>
            </w:r>
          </w:p>
        </w:tc>
        <w:tc>
          <w:tcPr>
            <w:tcW w:w="0" w:type="auto"/>
            <w:tcBorders>
              <w:top w:val="nil"/>
              <w:left w:val="nil"/>
              <w:bottom w:val="nil"/>
              <w:right w:val="nil"/>
            </w:tcBorders>
            <w:shd w:val="clear" w:color="auto" w:fill="auto"/>
            <w:noWrap/>
            <w:tcMar>
              <w:left w:w="72" w:type="dxa"/>
              <w:right w:w="72" w:type="dxa"/>
            </w:tcMar>
            <w:vAlign w:val="bottom"/>
          </w:tcPr>
          <w:p w14:paraId="45E1E08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shd w:val="clear" w:color="auto" w:fill="auto"/>
            <w:noWrap/>
            <w:tcMar>
              <w:left w:w="72" w:type="dxa"/>
              <w:right w:w="72" w:type="dxa"/>
            </w:tcMar>
            <w:vAlign w:val="bottom"/>
          </w:tcPr>
          <w:p w14:paraId="056F3CF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1783744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290F99E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568F5CC0"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54E60FEF"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18FE2A07"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699F1F17"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18789950"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659E5160"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05A4BC60"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1BDB62F4"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4A6FE755"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420A86AA"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28DCF8FB"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40488B20"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4F80B095"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tcPr>
          <w:p w14:paraId="4D90C445" w14:textId="77777777" w:rsidR="0089544F" w:rsidRPr="00263C50" w:rsidRDefault="0089544F" w:rsidP="00186583">
            <w:pPr>
              <w:rPr>
                <w:rFonts w:ascii="Times New Roman" w:hAnsi="Times New Roman" w:cs="Times New Roman"/>
                <w:color w:val="000000"/>
                <w:sz w:val="14"/>
                <w:szCs w:val="14"/>
                <w:lang w:val="en-US"/>
              </w:rPr>
            </w:pPr>
          </w:p>
        </w:tc>
        <w:tc>
          <w:tcPr>
            <w:tcW w:w="0" w:type="auto"/>
            <w:tcBorders>
              <w:top w:val="nil"/>
              <w:left w:val="nil"/>
              <w:bottom w:val="nil"/>
              <w:right w:val="nil"/>
            </w:tcBorders>
            <w:vAlign w:val="bottom"/>
          </w:tcPr>
          <w:p w14:paraId="45C66C2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vAlign w:val="bottom"/>
          </w:tcPr>
          <w:p w14:paraId="6830BD6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tcPr>
          <w:p w14:paraId="30DF2E6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7D04D7C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3DD7A2E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149119B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tcPr>
          <w:p w14:paraId="1D9431E3"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594A91FA"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1CCF0CB9"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4E27D412"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68FF9F96"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319A30A8"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03497DD8"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356D6EA8"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423AFCCC"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6C00FFD0"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7D62C95E"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tcPr>
          <w:p w14:paraId="51D41043"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6E68867F"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17032098" w14:textId="77777777" w:rsidR="0089544F" w:rsidRPr="00263C50" w:rsidRDefault="0089544F" w:rsidP="00186583">
            <w:pPr>
              <w:rPr>
                <w:rFonts w:ascii="Times New Roman" w:hAnsi="Times New Roman" w:cs="Times New Roman"/>
                <w:color w:val="000000"/>
                <w:sz w:val="14"/>
                <w:szCs w:val="14"/>
                <w:lang w:val="en-US"/>
              </w:rPr>
            </w:pPr>
            <w:proofErr w:type="spellStart"/>
            <w:r w:rsidRPr="00263C50">
              <w:rPr>
                <w:rFonts w:ascii="Times New Roman" w:hAnsi="Times New Roman" w:cs="Times New Roman"/>
                <w:color w:val="000000"/>
                <w:sz w:val="14"/>
                <w:szCs w:val="14"/>
              </w:rPr>
              <w:t>FinConf</w:t>
            </w:r>
            <w:proofErr w:type="spellEnd"/>
          </w:p>
        </w:tc>
        <w:tc>
          <w:tcPr>
            <w:tcW w:w="0" w:type="auto"/>
            <w:tcBorders>
              <w:top w:val="nil"/>
              <w:left w:val="nil"/>
              <w:bottom w:val="nil"/>
              <w:right w:val="nil"/>
            </w:tcBorders>
            <w:vAlign w:val="bottom"/>
          </w:tcPr>
          <w:p w14:paraId="6E06203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0.52</w:t>
            </w:r>
          </w:p>
        </w:tc>
        <w:tc>
          <w:tcPr>
            <w:tcW w:w="0" w:type="auto"/>
            <w:tcBorders>
              <w:top w:val="nil"/>
              <w:left w:val="nil"/>
              <w:bottom w:val="nil"/>
              <w:right w:val="nil"/>
            </w:tcBorders>
            <w:vAlign w:val="bottom"/>
          </w:tcPr>
          <w:p w14:paraId="7C0FA6C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0.68</w:t>
            </w:r>
          </w:p>
        </w:tc>
        <w:tc>
          <w:tcPr>
            <w:tcW w:w="0" w:type="auto"/>
            <w:tcBorders>
              <w:top w:val="nil"/>
              <w:left w:val="nil"/>
              <w:bottom w:val="nil"/>
              <w:right w:val="nil"/>
            </w:tcBorders>
            <w:shd w:val="clear" w:color="auto" w:fill="auto"/>
            <w:noWrap/>
            <w:tcMar>
              <w:left w:w="72" w:type="dxa"/>
              <w:right w:w="72" w:type="dxa"/>
            </w:tcMar>
            <w:vAlign w:val="bottom"/>
            <w:hideMark/>
          </w:tcPr>
          <w:p w14:paraId="7F7D888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0.47</w:t>
            </w:r>
          </w:p>
        </w:tc>
        <w:tc>
          <w:tcPr>
            <w:tcW w:w="0" w:type="auto"/>
            <w:tcBorders>
              <w:top w:val="nil"/>
              <w:left w:val="nil"/>
              <w:bottom w:val="nil"/>
              <w:right w:val="nil"/>
            </w:tcBorders>
            <w:shd w:val="clear" w:color="auto" w:fill="auto"/>
            <w:noWrap/>
            <w:tcMar>
              <w:left w:w="72" w:type="dxa"/>
              <w:right w:w="72" w:type="dxa"/>
            </w:tcMar>
            <w:vAlign w:val="bottom"/>
            <w:hideMark/>
          </w:tcPr>
          <w:p w14:paraId="0DEC002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shd w:val="clear" w:color="auto" w:fill="auto"/>
            <w:noWrap/>
            <w:tcMar>
              <w:left w:w="72" w:type="dxa"/>
              <w:right w:w="72" w:type="dxa"/>
            </w:tcMar>
            <w:vAlign w:val="bottom"/>
            <w:hideMark/>
          </w:tcPr>
          <w:p w14:paraId="31CED94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677204A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1C288927"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A226FE3"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762B45AE"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751D2BD4"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7B275B86"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2FEF1918"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02A2797A"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E1AE2F0"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880CBB5"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6013CA46"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7243D25E"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EEA526A"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37956B82"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3AFC95BF" w14:textId="77777777" w:rsidR="0089544F" w:rsidRPr="00263C50" w:rsidRDefault="0089544F" w:rsidP="00186583">
            <w:pP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0709918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vAlign w:val="bottom"/>
          </w:tcPr>
          <w:p w14:paraId="152103B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2E997B1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5114373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0F96F740" w14:textId="77777777" w:rsidR="0089544F" w:rsidRPr="00263C50" w:rsidRDefault="0089544F" w:rsidP="00186583">
            <w:pPr>
              <w:jc w:val="center"/>
              <w:rPr>
                <w:rFonts w:ascii="Times New Roman" w:hAnsi="Times New Roman" w:cs="Times New Roman"/>
                <w:color w:val="000000"/>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D98038E"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3BCD25FE"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48375F15"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0F47925B"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47C66BD9"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22445EA"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649AF2EE"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76674E5"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09F4644"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195766B6"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490C1CF2"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70BF5F08"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78AD9E0E" w14:textId="77777777" w:rsidR="0089544F" w:rsidRPr="00263C50" w:rsidRDefault="0089544F" w:rsidP="00186583">
            <w:pPr>
              <w:jc w:val="center"/>
              <w:rPr>
                <w:rFonts w:ascii="Times New Roman" w:eastAsia="Times New Roman" w:hAnsi="Times New Roman" w:cs="Times New Roman"/>
                <w:sz w:val="14"/>
                <w:szCs w:val="14"/>
                <w:lang w:val="en-US" w:eastAsia="zh-TW"/>
              </w:rPr>
            </w:pPr>
          </w:p>
        </w:tc>
      </w:tr>
      <w:tr w:rsidR="0089544F" w:rsidRPr="00263C50" w14:paraId="0C6B64D6"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7A4A2DC5" w14:textId="77777777" w:rsidR="0089544F" w:rsidRPr="00263C50" w:rsidRDefault="0089544F" w:rsidP="00186583">
            <w:pPr>
              <w:rPr>
                <w:rFonts w:ascii="Times New Roman" w:hAnsi="Times New Roman" w:cs="Times New Roman"/>
                <w:color w:val="000000"/>
                <w:sz w:val="14"/>
                <w:szCs w:val="14"/>
                <w:lang w:val="en-US"/>
              </w:rPr>
            </w:pPr>
            <w:proofErr w:type="spellStart"/>
            <w:r w:rsidRPr="00263C50">
              <w:rPr>
                <w:rFonts w:ascii="Times New Roman" w:hAnsi="Times New Roman" w:cs="Times New Roman"/>
                <w:color w:val="000000"/>
                <w:sz w:val="14"/>
                <w:szCs w:val="14"/>
              </w:rPr>
              <w:t>IntroAcctg</w:t>
            </w:r>
            <w:proofErr w:type="spellEnd"/>
          </w:p>
        </w:tc>
        <w:tc>
          <w:tcPr>
            <w:tcW w:w="0" w:type="auto"/>
            <w:tcBorders>
              <w:top w:val="nil"/>
              <w:left w:val="nil"/>
              <w:bottom w:val="nil"/>
              <w:right w:val="nil"/>
            </w:tcBorders>
            <w:vAlign w:val="bottom"/>
          </w:tcPr>
          <w:p w14:paraId="0ACACCB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-0.19</w:t>
            </w:r>
          </w:p>
        </w:tc>
        <w:tc>
          <w:tcPr>
            <w:tcW w:w="0" w:type="auto"/>
            <w:tcBorders>
              <w:top w:val="nil"/>
              <w:left w:val="nil"/>
              <w:bottom w:val="nil"/>
              <w:right w:val="nil"/>
            </w:tcBorders>
            <w:vAlign w:val="bottom"/>
          </w:tcPr>
          <w:p w14:paraId="211C3C8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-0.22</w:t>
            </w:r>
          </w:p>
        </w:tc>
        <w:tc>
          <w:tcPr>
            <w:tcW w:w="0" w:type="auto"/>
            <w:tcBorders>
              <w:top w:val="nil"/>
              <w:left w:val="nil"/>
              <w:bottom w:val="nil"/>
              <w:right w:val="nil"/>
            </w:tcBorders>
            <w:shd w:val="clear" w:color="auto" w:fill="auto"/>
            <w:noWrap/>
            <w:tcMar>
              <w:left w:w="72" w:type="dxa"/>
              <w:right w:w="72" w:type="dxa"/>
            </w:tcMar>
            <w:vAlign w:val="bottom"/>
            <w:hideMark/>
          </w:tcPr>
          <w:p w14:paraId="534BF6A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0.01</w:t>
            </w:r>
          </w:p>
        </w:tc>
        <w:tc>
          <w:tcPr>
            <w:tcW w:w="0" w:type="auto"/>
            <w:tcBorders>
              <w:top w:val="nil"/>
              <w:left w:val="nil"/>
              <w:bottom w:val="nil"/>
              <w:right w:val="nil"/>
            </w:tcBorders>
            <w:shd w:val="clear" w:color="auto" w:fill="auto"/>
            <w:noWrap/>
            <w:tcMar>
              <w:left w:w="72" w:type="dxa"/>
              <w:right w:w="72" w:type="dxa"/>
            </w:tcMar>
            <w:vAlign w:val="bottom"/>
            <w:hideMark/>
          </w:tcPr>
          <w:p w14:paraId="2441D05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-0.12</w:t>
            </w:r>
          </w:p>
        </w:tc>
        <w:tc>
          <w:tcPr>
            <w:tcW w:w="0" w:type="auto"/>
            <w:tcBorders>
              <w:top w:val="nil"/>
              <w:left w:val="nil"/>
              <w:bottom w:val="nil"/>
              <w:right w:val="nil"/>
            </w:tcBorders>
            <w:shd w:val="clear" w:color="auto" w:fill="auto"/>
            <w:noWrap/>
            <w:tcMar>
              <w:left w:w="72" w:type="dxa"/>
              <w:right w:w="72" w:type="dxa"/>
            </w:tcMar>
            <w:vAlign w:val="bottom"/>
            <w:hideMark/>
          </w:tcPr>
          <w:p w14:paraId="0BE3510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shd w:val="clear" w:color="auto" w:fill="auto"/>
            <w:noWrap/>
            <w:tcMar>
              <w:left w:w="72" w:type="dxa"/>
              <w:right w:w="72" w:type="dxa"/>
            </w:tcMar>
            <w:vAlign w:val="bottom"/>
            <w:hideMark/>
          </w:tcPr>
          <w:p w14:paraId="2AA78FA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793F7A1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133AF469"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7BF1AF6"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97A3FC2"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41ECE100"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37808994"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92ABEAB"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7E18009"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00F9B1EA"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062B0CEB"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3C9B3B9C"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A4AA367"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2F2E6227"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0F0824FC" w14:textId="77777777" w:rsidR="0089544F" w:rsidRPr="00263C50" w:rsidRDefault="0089544F" w:rsidP="00186583">
            <w:pP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467F96B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(0.02)</w:t>
            </w:r>
          </w:p>
        </w:tc>
        <w:tc>
          <w:tcPr>
            <w:tcW w:w="0" w:type="auto"/>
            <w:tcBorders>
              <w:top w:val="nil"/>
              <w:left w:val="nil"/>
              <w:bottom w:val="nil"/>
              <w:right w:val="nil"/>
            </w:tcBorders>
            <w:vAlign w:val="bottom"/>
          </w:tcPr>
          <w:p w14:paraId="27C5A2A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(0.01)</w:t>
            </w:r>
          </w:p>
        </w:tc>
        <w:tc>
          <w:tcPr>
            <w:tcW w:w="0" w:type="auto"/>
            <w:tcBorders>
              <w:top w:val="nil"/>
              <w:left w:val="nil"/>
              <w:bottom w:val="nil"/>
              <w:right w:val="nil"/>
            </w:tcBorders>
            <w:shd w:val="clear" w:color="auto" w:fill="auto"/>
            <w:noWrap/>
            <w:tcMar>
              <w:left w:w="72" w:type="dxa"/>
              <w:right w:w="72" w:type="dxa"/>
            </w:tcMar>
            <w:vAlign w:val="bottom"/>
            <w:hideMark/>
          </w:tcPr>
          <w:p w14:paraId="63FEA98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(0.89)</w:t>
            </w:r>
          </w:p>
        </w:tc>
        <w:tc>
          <w:tcPr>
            <w:tcW w:w="0" w:type="auto"/>
            <w:tcBorders>
              <w:top w:val="nil"/>
              <w:left w:val="nil"/>
              <w:bottom w:val="nil"/>
              <w:right w:val="nil"/>
            </w:tcBorders>
            <w:shd w:val="clear" w:color="auto" w:fill="auto"/>
            <w:noWrap/>
            <w:tcMar>
              <w:left w:w="72" w:type="dxa"/>
              <w:right w:w="72" w:type="dxa"/>
            </w:tcMar>
            <w:vAlign w:val="bottom"/>
            <w:hideMark/>
          </w:tcPr>
          <w:p w14:paraId="3BBA825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(0.15)</w:t>
            </w:r>
          </w:p>
        </w:tc>
        <w:tc>
          <w:tcPr>
            <w:tcW w:w="0" w:type="auto"/>
            <w:tcBorders>
              <w:top w:val="nil"/>
              <w:left w:val="nil"/>
              <w:bottom w:val="nil"/>
              <w:right w:val="nil"/>
            </w:tcBorders>
            <w:shd w:val="clear" w:color="auto" w:fill="auto"/>
            <w:noWrap/>
            <w:tcMar>
              <w:left w:w="72" w:type="dxa"/>
              <w:right w:w="72" w:type="dxa"/>
            </w:tcMar>
            <w:vAlign w:val="bottom"/>
            <w:hideMark/>
          </w:tcPr>
          <w:p w14:paraId="7D27762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6DECD6F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31FF9414"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34E08EB8"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5CFFF50"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37826B11"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1523E33"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6B28E7E4"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1B550CF7"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8DF3261"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159C7421"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E1FD501"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163B57FD"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7DAB4977"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01AE5E77"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217838D4" w14:textId="77777777" w:rsidR="0089544F" w:rsidRPr="00263C50" w:rsidRDefault="0089544F" w:rsidP="00186583">
            <w:pPr>
              <w:rPr>
                <w:rFonts w:ascii="Times New Roman" w:hAnsi="Times New Roman" w:cs="Times New Roman"/>
                <w:color w:val="000000"/>
                <w:sz w:val="14"/>
                <w:szCs w:val="14"/>
                <w:lang w:val="en-US"/>
              </w:rPr>
            </w:pPr>
            <w:proofErr w:type="spellStart"/>
            <w:r w:rsidRPr="00263C50">
              <w:rPr>
                <w:rFonts w:ascii="Times New Roman" w:hAnsi="Times New Roman" w:cs="Times New Roman"/>
                <w:color w:val="000000"/>
                <w:sz w:val="14"/>
                <w:szCs w:val="14"/>
              </w:rPr>
              <w:t>UpperAcctg</w:t>
            </w:r>
            <w:proofErr w:type="spellEnd"/>
          </w:p>
        </w:tc>
        <w:tc>
          <w:tcPr>
            <w:tcW w:w="0" w:type="auto"/>
            <w:tcBorders>
              <w:top w:val="nil"/>
              <w:left w:val="nil"/>
              <w:bottom w:val="nil"/>
              <w:right w:val="nil"/>
            </w:tcBorders>
            <w:vAlign w:val="bottom"/>
          </w:tcPr>
          <w:p w14:paraId="1C28DB8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0.28</w:t>
            </w:r>
          </w:p>
        </w:tc>
        <w:tc>
          <w:tcPr>
            <w:tcW w:w="0" w:type="auto"/>
            <w:tcBorders>
              <w:top w:val="nil"/>
              <w:left w:val="nil"/>
              <w:bottom w:val="nil"/>
              <w:right w:val="nil"/>
            </w:tcBorders>
            <w:vAlign w:val="bottom"/>
          </w:tcPr>
          <w:p w14:paraId="6679D06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0.32</w:t>
            </w:r>
          </w:p>
        </w:tc>
        <w:tc>
          <w:tcPr>
            <w:tcW w:w="0" w:type="auto"/>
            <w:tcBorders>
              <w:top w:val="nil"/>
              <w:left w:val="nil"/>
              <w:bottom w:val="nil"/>
              <w:right w:val="nil"/>
            </w:tcBorders>
            <w:shd w:val="clear" w:color="auto" w:fill="auto"/>
            <w:noWrap/>
            <w:tcMar>
              <w:left w:w="72" w:type="dxa"/>
              <w:right w:w="72" w:type="dxa"/>
            </w:tcMar>
            <w:vAlign w:val="bottom"/>
            <w:hideMark/>
          </w:tcPr>
          <w:p w14:paraId="6A3E13B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0.07</w:t>
            </w:r>
          </w:p>
        </w:tc>
        <w:tc>
          <w:tcPr>
            <w:tcW w:w="0" w:type="auto"/>
            <w:tcBorders>
              <w:top w:val="nil"/>
              <w:left w:val="nil"/>
              <w:bottom w:val="nil"/>
              <w:right w:val="nil"/>
            </w:tcBorders>
            <w:shd w:val="clear" w:color="auto" w:fill="auto"/>
            <w:noWrap/>
            <w:tcMar>
              <w:left w:w="72" w:type="dxa"/>
              <w:right w:w="72" w:type="dxa"/>
            </w:tcMar>
            <w:vAlign w:val="bottom"/>
            <w:hideMark/>
          </w:tcPr>
          <w:p w14:paraId="6A87CBD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0.32</w:t>
            </w:r>
          </w:p>
        </w:tc>
        <w:tc>
          <w:tcPr>
            <w:tcW w:w="0" w:type="auto"/>
            <w:tcBorders>
              <w:top w:val="nil"/>
              <w:left w:val="nil"/>
              <w:bottom w:val="nil"/>
              <w:right w:val="nil"/>
            </w:tcBorders>
            <w:shd w:val="clear" w:color="auto" w:fill="auto"/>
            <w:noWrap/>
            <w:tcMar>
              <w:left w:w="72" w:type="dxa"/>
              <w:right w:w="72" w:type="dxa"/>
            </w:tcMar>
            <w:vAlign w:val="bottom"/>
            <w:hideMark/>
          </w:tcPr>
          <w:p w14:paraId="76A4E2C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-0.57</w:t>
            </w:r>
          </w:p>
        </w:tc>
        <w:tc>
          <w:tcPr>
            <w:tcW w:w="0" w:type="auto"/>
            <w:tcBorders>
              <w:top w:val="nil"/>
              <w:left w:val="nil"/>
              <w:bottom w:val="nil"/>
              <w:right w:val="nil"/>
            </w:tcBorders>
            <w:shd w:val="clear" w:color="auto" w:fill="auto"/>
            <w:noWrap/>
            <w:tcMar>
              <w:left w:w="72" w:type="dxa"/>
              <w:right w:w="72" w:type="dxa"/>
            </w:tcMar>
            <w:vAlign w:val="bottom"/>
            <w:hideMark/>
          </w:tcPr>
          <w:p w14:paraId="2E9DECE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shd w:val="clear" w:color="auto" w:fill="auto"/>
            <w:noWrap/>
            <w:tcMar>
              <w:left w:w="72" w:type="dxa"/>
              <w:right w:w="72" w:type="dxa"/>
            </w:tcMar>
            <w:vAlign w:val="bottom"/>
            <w:hideMark/>
          </w:tcPr>
          <w:p w14:paraId="7B961B5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48A3554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3D0C91D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2643AC4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0D355BC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vAlign w:val="bottom"/>
          </w:tcPr>
          <w:p w14:paraId="530F241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06E903D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3445156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59525F57"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4820676B"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1E2C5368"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58886F6"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749EEDCE"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196ABF91" w14:textId="77777777" w:rsidR="0089544F" w:rsidRPr="00263C50" w:rsidRDefault="0089544F" w:rsidP="00186583">
            <w:pP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2F43EA5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vAlign w:val="bottom"/>
          </w:tcPr>
          <w:p w14:paraId="5B81826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1274030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(0.38)</w:t>
            </w:r>
          </w:p>
        </w:tc>
        <w:tc>
          <w:tcPr>
            <w:tcW w:w="0" w:type="auto"/>
            <w:tcBorders>
              <w:top w:val="nil"/>
              <w:left w:val="nil"/>
              <w:bottom w:val="nil"/>
              <w:right w:val="nil"/>
            </w:tcBorders>
            <w:shd w:val="clear" w:color="auto" w:fill="auto"/>
            <w:noWrap/>
            <w:tcMar>
              <w:left w:w="72" w:type="dxa"/>
              <w:right w:w="72" w:type="dxa"/>
            </w:tcMar>
            <w:vAlign w:val="bottom"/>
            <w:hideMark/>
          </w:tcPr>
          <w:p w14:paraId="07A609E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07D79AC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755950F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7E83953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1900C43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4D73317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573E704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11658AB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vAlign w:val="bottom"/>
          </w:tcPr>
          <w:p w14:paraId="7F884AA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2AA5BCC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33479707"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C79A9A1"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426D6745"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7A1F9D7A"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9E9423D"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49734E01"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1015FB43" w14:textId="77777777" w:rsidR="0089544F" w:rsidRPr="00263C50" w:rsidRDefault="0089544F" w:rsidP="00186583">
            <w:pPr>
              <w:rPr>
                <w:rFonts w:ascii="Times New Roman" w:hAnsi="Times New Roman" w:cs="Times New Roman"/>
                <w:color w:val="000000"/>
                <w:sz w:val="14"/>
                <w:szCs w:val="14"/>
                <w:lang w:val="en-US"/>
              </w:rPr>
            </w:pPr>
            <w:proofErr w:type="spellStart"/>
            <w:r w:rsidRPr="00263C50">
              <w:rPr>
                <w:rFonts w:ascii="Times New Roman" w:hAnsi="Times New Roman" w:cs="Times New Roman"/>
                <w:color w:val="000000"/>
                <w:sz w:val="14"/>
                <w:szCs w:val="14"/>
              </w:rPr>
              <w:t>IntroTax</w:t>
            </w:r>
            <w:proofErr w:type="spellEnd"/>
          </w:p>
        </w:tc>
        <w:tc>
          <w:tcPr>
            <w:tcW w:w="0" w:type="auto"/>
            <w:tcBorders>
              <w:top w:val="nil"/>
              <w:left w:val="nil"/>
              <w:bottom w:val="nil"/>
              <w:right w:val="nil"/>
            </w:tcBorders>
            <w:vAlign w:val="bottom"/>
          </w:tcPr>
          <w:p w14:paraId="365503E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0.18</w:t>
            </w:r>
          </w:p>
        </w:tc>
        <w:tc>
          <w:tcPr>
            <w:tcW w:w="0" w:type="auto"/>
            <w:tcBorders>
              <w:top w:val="nil"/>
              <w:left w:val="nil"/>
              <w:bottom w:val="nil"/>
              <w:right w:val="nil"/>
            </w:tcBorders>
            <w:vAlign w:val="bottom"/>
          </w:tcPr>
          <w:p w14:paraId="768337C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0.29</w:t>
            </w:r>
          </w:p>
        </w:tc>
        <w:tc>
          <w:tcPr>
            <w:tcW w:w="0" w:type="auto"/>
            <w:tcBorders>
              <w:top w:val="nil"/>
              <w:left w:val="nil"/>
              <w:bottom w:val="nil"/>
              <w:right w:val="nil"/>
            </w:tcBorders>
            <w:shd w:val="clear" w:color="auto" w:fill="auto"/>
            <w:noWrap/>
            <w:tcMar>
              <w:left w:w="72" w:type="dxa"/>
              <w:right w:w="72" w:type="dxa"/>
            </w:tcMar>
            <w:vAlign w:val="bottom"/>
            <w:hideMark/>
          </w:tcPr>
          <w:p w14:paraId="22FF304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-0.01</w:t>
            </w:r>
          </w:p>
        </w:tc>
        <w:tc>
          <w:tcPr>
            <w:tcW w:w="0" w:type="auto"/>
            <w:tcBorders>
              <w:top w:val="nil"/>
              <w:left w:val="nil"/>
              <w:bottom w:val="nil"/>
              <w:right w:val="nil"/>
            </w:tcBorders>
            <w:shd w:val="clear" w:color="auto" w:fill="auto"/>
            <w:noWrap/>
            <w:tcMar>
              <w:left w:w="72" w:type="dxa"/>
              <w:right w:w="72" w:type="dxa"/>
            </w:tcMar>
            <w:vAlign w:val="bottom"/>
            <w:hideMark/>
          </w:tcPr>
          <w:p w14:paraId="32ECA23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0.21</w:t>
            </w:r>
          </w:p>
        </w:tc>
        <w:tc>
          <w:tcPr>
            <w:tcW w:w="0" w:type="auto"/>
            <w:tcBorders>
              <w:top w:val="nil"/>
              <w:left w:val="nil"/>
              <w:bottom w:val="nil"/>
              <w:right w:val="nil"/>
            </w:tcBorders>
            <w:shd w:val="clear" w:color="auto" w:fill="auto"/>
            <w:noWrap/>
            <w:tcMar>
              <w:left w:w="72" w:type="dxa"/>
              <w:right w:w="72" w:type="dxa"/>
            </w:tcMar>
            <w:vAlign w:val="bottom"/>
            <w:hideMark/>
          </w:tcPr>
          <w:p w14:paraId="3B17B9D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-0.18</w:t>
            </w:r>
          </w:p>
        </w:tc>
        <w:tc>
          <w:tcPr>
            <w:tcW w:w="0" w:type="auto"/>
            <w:tcBorders>
              <w:top w:val="nil"/>
              <w:left w:val="nil"/>
              <w:bottom w:val="nil"/>
              <w:right w:val="nil"/>
            </w:tcBorders>
            <w:shd w:val="clear" w:color="auto" w:fill="auto"/>
            <w:noWrap/>
            <w:tcMar>
              <w:left w:w="72" w:type="dxa"/>
              <w:right w:w="72" w:type="dxa"/>
            </w:tcMar>
            <w:vAlign w:val="bottom"/>
            <w:hideMark/>
          </w:tcPr>
          <w:p w14:paraId="1841979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0.48</w:t>
            </w:r>
          </w:p>
        </w:tc>
        <w:tc>
          <w:tcPr>
            <w:tcW w:w="0" w:type="auto"/>
            <w:tcBorders>
              <w:top w:val="nil"/>
              <w:left w:val="nil"/>
              <w:bottom w:val="nil"/>
              <w:right w:val="nil"/>
            </w:tcBorders>
            <w:shd w:val="clear" w:color="auto" w:fill="auto"/>
            <w:noWrap/>
            <w:tcMar>
              <w:left w:w="72" w:type="dxa"/>
              <w:right w:w="72" w:type="dxa"/>
            </w:tcMar>
            <w:vAlign w:val="bottom"/>
            <w:hideMark/>
          </w:tcPr>
          <w:p w14:paraId="2760786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shd w:val="clear" w:color="auto" w:fill="auto"/>
            <w:noWrap/>
            <w:tcMar>
              <w:left w:w="72" w:type="dxa"/>
              <w:right w:w="72" w:type="dxa"/>
            </w:tcMar>
            <w:vAlign w:val="bottom"/>
            <w:hideMark/>
          </w:tcPr>
          <w:p w14:paraId="3AF8FD3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7D17C88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1473D14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3A31927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vAlign w:val="bottom"/>
          </w:tcPr>
          <w:p w14:paraId="1ACC1BF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2358E86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24D8C14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2A7BEFC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6FA9779B"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35E73DD"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698FB72E"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5A3752DF"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67846496" w14:textId="77777777" w:rsidR="0089544F" w:rsidRPr="00263C50" w:rsidRDefault="0089544F" w:rsidP="00186583">
            <w:pP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5D13C1B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(0.03)</w:t>
            </w:r>
          </w:p>
        </w:tc>
        <w:tc>
          <w:tcPr>
            <w:tcW w:w="0" w:type="auto"/>
            <w:tcBorders>
              <w:top w:val="nil"/>
              <w:left w:val="nil"/>
              <w:bottom w:val="nil"/>
              <w:right w:val="nil"/>
            </w:tcBorders>
            <w:vAlign w:val="bottom"/>
          </w:tcPr>
          <w:p w14:paraId="59FC0AB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3533B18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(0.91)</w:t>
            </w:r>
          </w:p>
        </w:tc>
        <w:tc>
          <w:tcPr>
            <w:tcW w:w="0" w:type="auto"/>
            <w:tcBorders>
              <w:top w:val="nil"/>
              <w:left w:val="nil"/>
              <w:bottom w:val="nil"/>
              <w:right w:val="nil"/>
            </w:tcBorders>
            <w:shd w:val="clear" w:color="auto" w:fill="auto"/>
            <w:noWrap/>
            <w:tcMar>
              <w:left w:w="72" w:type="dxa"/>
              <w:right w:w="72" w:type="dxa"/>
            </w:tcMar>
            <w:vAlign w:val="bottom"/>
            <w:hideMark/>
          </w:tcPr>
          <w:p w14:paraId="1B2F220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(0.01)</w:t>
            </w:r>
          </w:p>
        </w:tc>
        <w:tc>
          <w:tcPr>
            <w:tcW w:w="0" w:type="auto"/>
            <w:tcBorders>
              <w:top w:val="nil"/>
              <w:left w:val="nil"/>
              <w:bottom w:val="nil"/>
              <w:right w:val="nil"/>
            </w:tcBorders>
            <w:shd w:val="clear" w:color="auto" w:fill="auto"/>
            <w:noWrap/>
            <w:tcMar>
              <w:left w:w="72" w:type="dxa"/>
              <w:right w:w="72" w:type="dxa"/>
            </w:tcMar>
            <w:vAlign w:val="bottom"/>
            <w:hideMark/>
          </w:tcPr>
          <w:p w14:paraId="7A38212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(0.03)</w:t>
            </w:r>
          </w:p>
        </w:tc>
        <w:tc>
          <w:tcPr>
            <w:tcW w:w="0" w:type="auto"/>
            <w:tcBorders>
              <w:top w:val="nil"/>
              <w:left w:val="nil"/>
              <w:bottom w:val="nil"/>
              <w:right w:val="nil"/>
            </w:tcBorders>
            <w:shd w:val="clear" w:color="auto" w:fill="auto"/>
            <w:noWrap/>
            <w:tcMar>
              <w:left w:w="72" w:type="dxa"/>
              <w:right w:w="72" w:type="dxa"/>
            </w:tcMar>
            <w:vAlign w:val="bottom"/>
            <w:hideMark/>
          </w:tcPr>
          <w:p w14:paraId="565DD0F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6826FCF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3AC4142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0F47113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346D138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5793B92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vAlign w:val="bottom"/>
          </w:tcPr>
          <w:p w14:paraId="5932D81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0E99032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1F1A173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46F8F64A"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80D4AE6"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10FF477A"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C65D8B5"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18C17804"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17731AEB" w14:textId="77777777" w:rsidR="0089544F" w:rsidRPr="00263C50" w:rsidRDefault="0089544F" w:rsidP="00186583">
            <w:pPr>
              <w:rPr>
                <w:rFonts w:ascii="Times New Roman" w:hAnsi="Times New Roman" w:cs="Times New Roman"/>
                <w:color w:val="000000"/>
                <w:sz w:val="14"/>
                <w:szCs w:val="14"/>
                <w:lang w:val="en-US"/>
              </w:rPr>
            </w:pPr>
            <w:proofErr w:type="spellStart"/>
            <w:r w:rsidRPr="00263C50">
              <w:rPr>
                <w:rFonts w:ascii="Times New Roman" w:hAnsi="Times New Roman" w:cs="Times New Roman"/>
                <w:color w:val="000000"/>
                <w:sz w:val="14"/>
                <w:szCs w:val="14"/>
              </w:rPr>
              <w:t>UpperTax</w:t>
            </w:r>
            <w:proofErr w:type="spellEnd"/>
          </w:p>
        </w:tc>
        <w:tc>
          <w:tcPr>
            <w:tcW w:w="0" w:type="auto"/>
            <w:tcBorders>
              <w:top w:val="nil"/>
              <w:left w:val="nil"/>
              <w:bottom w:val="nil"/>
              <w:right w:val="nil"/>
            </w:tcBorders>
            <w:vAlign w:val="bottom"/>
          </w:tcPr>
          <w:p w14:paraId="35DC5E0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0.23</w:t>
            </w:r>
          </w:p>
        </w:tc>
        <w:tc>
          <w:tcPr>
            <w:tcW w:w="0" w:type="auto"/>
            <w:tcBorders>
              <w:top w:val="nil"/>
              <w:left w:val="nil"/>
              <w:bottom w:val="nil"/>
              <w:right w:val="nil"/>
            </w:tcBorders>
            <w:vAlign w:val="bottom"/>
          </w:tcPr>
          <w:p w14:paraId="6210C06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0.24</w:t>
            </w:r>
          </w:p>
        </w:tc>
        <w:tc>
          <w:tcPr>
            <w:tcW w:w="0" w:type="auto"/>
            <w:tcBorders>
              <w:top w:val="nil"/>
              <w:left w:val="nil"/>
              <w:bottom w:val="nil"/>
              <w:right w:val="nil"/>
            </w:tcBorders>
            <w:shd w:val="clear" w:color="auto" w:fill="auto"/>
            <w:noWrap/>
            <w:tcMar>
              <w:left w:w="72" w:type="dxa"/>
              <w:right w:w="72" w:type="dxa"/>
            </w:tcMar>
            <w:vAlign w:val="bottom"/>
            <w:hideMark/>
          </w:tcPr>
          <w:p w14:paraId="37B3468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0.06</w:t>
            </w:r>
          </w:p>
        </w:tc>
        <w:tc>
          <w:tcPr>
            <w:tcW w:w="0" w:type="auto"/>
            <w:tcBorders>
              <w:top w:val="nil"/>
              <w:left w:val="nil"/>
              <w:bottom w:val="nil"/>
              <w:right w:val="nil"/>
            </w:tcBorders>
            <w:shd w:val="clear" w:color="auto" w:fill="auto"/>
            <w:noWrap/>
            <w:tcMar>
              <w:left w:w="72" w:type="dxa"/>
              <w:right w:w="72" w:type="dxa"/>
            </w:tcMar>
            <w:vAlign w:val="bottom"/>
            <w:hideMark/>
          </w:tcPr>
          <w:p w14:paraId="73A4971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0.16</w:t>
            </w:r>
          </w:p>
        </w:tc>
        <w:tc>
          <w:tcPr>
            <w:tcW w:w="0" w:type="auto"/>
            <w:tcBorders>
              <w:top w:val="nil"/>
              <w:left w:val="nil"/>
              <w:bottom w:val="nil"/>
              <w:right w:val="nil"/>
            </w:tcBorders>
            <w:shd w:val="clear" w:color="auto" w:fill="auto"/>
            <w:noWrap/>
            <w:tcMar>
              <w:left w:w="72" w:type="dxa"/>
              <w:right w:w="72" w:type="dxa"/>
            </w:tcMar>
            <w:vAlign w:val="bottom"/>
            <w:hideMark/>
          </w:tcPr>
          <w:p w14:paraId="0C44E0C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-0.17</w:t>
            </w:r>
          </w:p>
        </w:tc>
        <w:tc>
          <w:tcPr>
            <w:tcW w:w="0" w:type="auto"/>
            <w:tcBorders>
              <w:top w:val="nil"/>
              <w:left w:val="nil"/>
              <w:bottom w:val="nil"/>
              <w:right w:val="nil"/>
            </w:tcBorders>
            <w:shd w:val="clear" w:color="auto" w:fill="auto"/>
            <w:noWrap/>
            <w:tcMar>
              <w:left w:w="72" w:type="dxa"/>
              <w:right w:w="72" w:type="dxa"/>
            </w:tcMar>
            <w:vAlign w:val="bottom"/>
            <w:hideMark/>
          </w:tcPr>
          <w:p w14:paraId="496F747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0.34</w:t>
            </w:r>
          </w:p>
        </w:tc>
        <w:tc>
          <w:tcPr>
            <w:tcW w:w="0" w:type="auto"/>
            <w:tcBorders>
              <w:top w:val="nil"/>
              <w:left w:val="nil"/>
              <w:bottom w:val="nil"/>
              <w:right w:val="nil"/>
            </w:tcBorders>
            <w:shd w:val="clear" w:color="auto" w:fill="auto"/>
            <w:noWrap/>
            <w:tcMar>
              <w:left w:w="72" w:type="dxa"/>
              <w:right w:w="72" w:type="dxa"/>
            </w:tcMar>
            <w:vAlign w:val="bottom"/>
            <w:hideMark/>
          </w:tcPr>
          <w:p w14:paraId="53D44BC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-0.12</w:t>
            </w:r>
          </w:p>
        </w:tc>
        <w:tc>
          <w:tcPr>
            <w:tcW w:w="0" w:type="auto"/>
            <w:tcBorders>
              <w:top w:val="nil"/>
              <w:left w:val="nil"/>
              <w:bottom w:val="nil"/>
              <w:right w:val="nil"/>
            </w:tcBorders>
            <w:shd w:val="clear" w:color="auto" w:fill="auto"/>
            <w:noWrap/>
            <w:tcMar>
              <w:left w:w="72" w:type="dxa"/>
              <w:right w:w="72" w:type="dxa"/>
            </w:tcMar>
            <w:vAlign w:val="bottom"/>
            <w:hideMark/>
          </w:tcPr>
          <w:p w14:paraId="126BFAD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shd w:val="clear" w:color="auto" w:fill="auto"/>
            <w:noWrap/>
            <w:tcMar>
              <w:left w:w="72" w:type="dxa"/>
              <w:right w:w="72" w:type="dxa"/>
            </w:tcMar>
            <w:vAlign w:val="bottom"/>
            <w:hideMark/>
          </w:tcPr>
          <w:p w14:paraId="5383EDD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0749219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1B9B2DD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vAlign w:val="bottom"/>
          </w:tcPr>
          <w:p w14:paraId="2B3A9EF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02F07DD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5F183F0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4035CF0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6B54ED5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34228869"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BD80195"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75874C01"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5125DE7C" w14:textId="77777777" w:rsidR="0089544F" w:rsidRPr="00263C50" w:rsidRDefault="0089544F" w:rsidP="00186583">
            <w:pP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34D51B4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(0.01)</w:t>
            </w:r>
          </w:p>
        </w:tc>
        <w:tc>
          <w:tcPr>
            <w:tcW w:w="0" w:type="auto"/>
            <w:tcBorders>
              <w:top w:val="nil"/>
              <w:left w:val="nil"/>
              <w:bottom w:val="nil"/>
              <w:right w:val="nil"/>
            </w:tcBorders>
            <w:vAlign w:val="bottom"/>
          </w:tcPr>
          <w:p w14:paraId="6E836F2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434BB2D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(0.45)</w:t>
            </w:r>
          </w:p>
        </w:tc>
        <w:tc>
          <w:tcPr>
            <w:tcW w:w="0" w:type="auto"/>
            <w:tcBorders>
              <w:top w:val="nil"/>
              <w:left w:val="nil"/>
              <w:bottom w:val="nil"/>
              <w:right w:val="nil"/>
            </w:tcBorders>
            <w:shd w:val="clear" w:color="auto" w:fill="auto"/>
            <w:noWrap/>
            <w:tcMar>
              <w:left w:w="72" w:type="dxa"/>
              <w:right w:w="72" w:type="dxa"/>
            </w:tcMar>
            <w:vAlign w:val="bottom"/>
            <w:hideMark/>
          </w:tcPr>
          <w:p w14:paraId="4A179D6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(0.05)</w:t>
            </w:r>
          </w:p>
        </w:tc>
        <w:tc>
          <w:tcPr>
            <w:tcW w:w="0" w:type="auto"/>
            <w:tcBorders>
              <w:top w:val="nil"/>
              <w:left w:val="nil"/>
              <w:bottom w:val="nil"/>
              <w:right w:val="nil"/>
            </w:tcBorders>
            <w:shd w:val="clear" w:color="auto" w:fill="auto"/>
            <w:noWrap/>
            <w:tcMar>
              <w:left w:w="72" w:type="dxa"/>
              <w:right w:w="72" w:type="dxa"/>
            </w:tcMar>
            <w:vAlign w:val="bottom"/>
            <w:hideMark/>
          </w:tcPr>
          <w:p w14:paraId="06FEF32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(0.04)</w:t>
            </w:r>
          </w:p>
        </w:tc>
        <w:tc>
          <w:tcPr>
            <w:tcW w:w="0" w:type="auto"/>
            <w:tcBorders>
              <w:top w:val="nil"/>
              <w:left w:val="nil"/>
              <w:bottom w:val="nil"/>
              <w:right w:val="nil"/>
            </w:tcBorders>
            <w:shd w:val="clear" w:color="auto" w:fill="auto"/>
            <w:noWrap/>
            <w:tcMar>
              <w:left w:w="72" w:type="dxa"/>
              <w:right w:w="72" w:type="dxa"/>
            </w:tcMar>
            <w:vAlign w:val="bottom"/>
            <w:hideMark/>
          </w:tcPr>
          <w:p w14:paraId="7DC209F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1805EFF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(0.14)</w:t>
            </w:r>
          </w:p>
        </w:tc>
        <w:tc>
          <w:tcPr>
            <w:tcW w:w="0" w:type="auto"/>
            <w:tcBorders>
              <w:top w:val="nil"/>
              <w:left w:val="nil"/>
              <w:bottom w:val="nil"/>
              <w:right w:val="nil"/>
            </w:tcBorders>
            <w:shd w:val="clear" w:color="auto" w:fill="auto"/>
            <w:noWrap/>
            <w:tcMar>
              <w:left w:w="72" w:type="dxa"/>
              <w:right w:w="72" w:type="dxa"/>
            </w:tcMar>
            <w:vAlign w:val="bottom"/>
            <w:hideMark/>
          </w:tcPr>
          <w:p w14:paraId="36D30A3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593C41D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77B5B43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10D03C5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vAlign w:val="bottom"/>
          </w:tcPr>
          <w:p w14:paraId="1FA68CB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53716FD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41DD8F9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6BDB261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51513910"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34070CA1"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0D7C52F5"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5DA48EA1"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627BBBBF" w14:textId="77777777" w:rsidR="0089544F" w:rsidRPr="00263C50" w:rsidRDefault="0089544F" w:rsidP="00186583">
            <w:pPr>
              <w:rPr>
                <w:rFonts w:ascii="Times New Roman" w:hAnsi="Times New Roman" w:cs="Times New Roman"/>
                <w:color w:val="000000"/>
                <w:sz w:val="14"/>
                <w:szCs w:val="14"/>
                <w:lang w:val="en-US"/>
              </w:rPr>
            </w:pPr>
            <w:r w:rsidRPr="00263C50">
              <w:rPr>
                <w:rFonts w:ascii="Times New Roman" w:hAnsi="Times New Roman" w:cs="Times New Roman"/>
                <w:color w:val="000000"/>
                <w:sz w:val="14"/>
                <w:szCs w:val="14"/>
              </w:rPr>
              <w:t>Gender</w:t>
            </w:r>
          </w:p>
        </w:tc>
        <w:tc>
          <w:tcPr>
            <w:tcW w:w="0" w:type="auto"/>
            <w:tcBorders>
              <w:top w:val="nil"/>
              <w:left w:val="nil"/>
              <w:bottom w:val="nil"/>
              <w:right w:val="nil"/>
            </w:tcBorders>
            <w:vAlign w:val="bottom"/>
          </w:tcPr>
          <w:p w14:paraId="3FDE721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0.14</w:t>
            </w:r>
          </w:p>
        </w:tc>
        <w:tc>
          <w:tcPr>
            <w:tcW w:w="0" w:type="auto"/>
            <w:tcBorders>
              <w:top w:val="nil"/>
              <w:left w:val="nil"/>
              <w:bottom w:val="nil"/>
              <w:right w:val="nil"/>
            </w:tcBorders>
            <w:vAlign w:val="bottom"/>
          </w:tcPr>
          <w:p w14:paraId="53CCB9A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0.14</w:t>
            </w:r>
          </w:p>
        </w:tc>
        <w:tc>
          <w:tcPr>
            <w:tcW w:w="0" w:type="auto"/>
            <w:tcBorders>
              <w:top w:val="nil"/>
              <w:left w:val="nil"/>
              <w:bottom w:val="nil"/>
              <w:right w:val="nil"/>
            </w:tcBorders>
            <w:shd w:val="clear" w:color="auto" w:fill="auto"/>
            <w:noWrap/>
            <w:tcMar>
              <w:left w:w="72" w:type="dxa"/>
              <w:right w:w="72" w:type="dxa"/>
            </w:tcMar>
            <w:vAlign w:val="bottom"/>
            <w:hideMark/>
          </w:tcPr>
          <w:p w14:paraId="6FFBCDF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0.22</w:t>
            </w:r>
          </w:p>
        </w:tc>
        <w:tc>
          <w:tcPr>
            <w:tcW w:w="0" w:type="auto"/>
            <w:tcBorders>
              <w:top w:val="nil"/>
              <w:left w:val="nil"/>
              <w:bottom w:val="nil"/>
              <w:right w:val="nil"/>
            </w:tcBorders>
            <w:shd w:val="clear" w:color="auto" w:fill="auto"/>
            <w:noWrap/>
            <w:tcMar>
              <w:left w:w="72" w:type="dxa"/>
              <w:right w:w="72" w:type="dxa"/>
            </w:tcMar>
            <w:vAlign w:val="bottom"/>
            <w:hideMark/>
          </w:tcPr>
          <w:p w14:paraId="2A19EF8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0.13</w:t>
            </w:r>
          </w:p>
        </w:tc>
        <w:tc>
          <w:tcPr>
            <w:tcW w:w="0" w:type="auto"/>
            <w:tcBorders>
              <w:top w:val="nil"/>
              <w:left w:val="nil"/>
              <w:bottom w:val="nil"/>
              <w:right w:val="nil"/>
            </w:tcBorders>
            <w:shd w:val="clear" w:color="auto" w:fill="auto"/>
            <w:noWrap/>
            <w:tcMar>
              <w:left w:w="72" w:type="dxa"/>
              <w:right w:w="72" w:type="dxa"/>
            </w:tcMar>
            <w:vAlign w:val="bottom"/>
            <w:hideMark/>
          </w:tcPr>
          <w:p w14:paraId="4005C8C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-0.03</w:t>
            </w:r>
          </w:p>
        </w:tc>
        <w:tc>
          <w:tcPr>
            <w:tcW w:w="0" w:type="auto"/>
            <w:tcBorders>
              <w:top w:val="nil"/>
              <w:left w:val="nil"/>
              <w:bottom w:val="nil"/>
              <w:right w:val="nil"/>
            </w:tcBorders>
            <w:shd w:val="clear" w:color="auto" w:fill="auto"/>
            <w:noWrap/>
            <w:tcMar>
              <w:left w:w="72" w:type="dxa"/>
              <w:right w:w="72" w:type="dxa"/>
            </w:tcMar>
            <w:vAlign w:val="bottom"/>
            <w:hideMark/>
          </w:tcPr>
          <w:p w14:paraId="38F38A5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0.11</w:t>
            </w:r>
          </w:p>
        </w:tc>
        <w:tc>
          <w:tcPr>
            <w:tcW w:w="0" w:type="auto"/>
            <w:tcBorders>
              <w:top w:val="nil"/>
              <w:left w:val="nil"/>
              <w:bottom w:val="nil"/>
              <w:right w:val="nil"/>
            </w:tcBorders>
            <w:shd w:val="clear" w:color="auto" w:fill="auto"/>
            <w:noWrap/>
            <w:tcMar>
              <w:left w:w="72" w:type="dxa"/>
              <w:right w:w="72" w:type="dxa"/>
            </w:tcMar>
            <w:vAlign w:val="bottom"/>
            <w:hideMark/>
          </w:tcPr>
          <w:p w14:paraId="720F6A4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0.16</w:t>
            </w:r>
          </w:p>
        </w:tc>
        <w:tc>
          <w:tcPr>
            <w:tcW w:w="0" w:type="auto"/>
            <w:tcBorders>
              <w:top w:val="nil"/>
              <w:left w:val="nil"/>
              <w:bottom w:val="nil"/>
              <w:right w:val="nil"/>
            </w:tcBorders>
            <w:shd w:val="clear" w:color="auto" w:fill="auto"/>
            <w:noWrap/>
            <w:tcMar>
              <w:left w:w="72" w:type="dxa"/>
              <w:right w:w="72" w:type="dxa"/>
            </w:tcMar>
            <w:vAlign w:val="bottom"/>
            <w:hideMark/>
          </w:tcPr>
          <w:p w14:paraId="546DCA0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0.07</w:t>
            </w:r>
          </w:p>
        </w:tc>
        <w:tc>
          <w:tcPr>
            <w:tcW w:w="0" w:type="auto"/>
            <w:tcBorders>
              <w:top w:val="nil"/>
              <w:left w:val="nil"/>
              <w:bottom w:val="nil"/>
              <w:right w:val="nil"/>
            </w:tcBorders>
            <w:shd w:val="clear" w:color="auto" w:fill="auto"/>
            <w:noWrap/>
            <w:tcMar>
              <w:left w:w="72" w:type="dxa"/>
              <w:right w:w="72" w:type="dxa"/>
            </w:tcMar>
            <w:vAlign w:val="bottom"/>
            <w:hideMark/>
          </w:tcPr>
          <w:p w14:paraId="12EBBE3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shd w:val="clear" w:color="auto" w:fill="auto"/>
            <w:noWrap/>
            <w:tcMar>
              <w:left w:w="72" w:type="dxa"/>
              <w:right w:w="72" w:type="dxa"/>
            </w:tcMar>
            <w:vAlign w:val="bottom"/>
            <w:hideMark/>
          </w:tcPr>
          <w:p w14:paraId="78ED17B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3AB4FD7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vAlign w:val="bottom"/>
          </w:tcPr>
          <w:p w14:paraId="4C6B7FB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530E602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698B6A2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2473ED3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0E5F9C9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0507F9C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1E05C007"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1C80A4BB"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0D009846" w14:textId="77777777" w:rsidR="0089544F" w:rsidRPr="00263C50" w:rsidRDefault="0089544F" w:rsidP="00186583">
            <w:pP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6ADE6A7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(0.09)</w:t>
            </w:r>
          </w:p>
        </w:tc>
        <w:tc>
          <w:tcPr>
            <w:tcW w:w="0" w:type="auto"/>
            <w:tcBorders>
              <w:top w:val="nil"/>
              <w:left w:val="nil"/>
              <w:bottom w:val="nil"/>
              <w:right w:val="nil"/>
            </w:tcBorders>
            <w:vAlign w:val="bottom"/>
          </w:tcPr>
          <w:p w14:paraId="71A7BB3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(0.09)</w:t>
            </w:r>
          </w:p>
        </w:tc>
        <w:tc>
          <w:tcPr>
            <w:tcW w:w="0" w:type="auto"/>
            <w:tcBorders>
              <w:top w:val="nil"/>
              <w:left w:val="nil"/>
              <w:bottom w:val="nil"/>
              <w:right w:val="nil"/>
            </w:tcBorders>
            <w:shd w:val="clear" w:color="auto" w:fill="auto"/>
            <w:noWrap/>
            <w:tcMar>
              <w:left w:w="72" w:type="dxa"/>
              <w:right w:w="72" w:type="dxa"/>
            </w:tcMar>
            <w:vAlign w:val="bottom"/>
            <w:hideMark/>
          </w:tcPr>
          <w:p w14:paraId="4AC6E2C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(0.01)</w:t>
            </w:r>
          </w:p>
        </w:tc>
        <w:tc>
          <w:tcPr>
            <w:tcW w:w="0" w:type="auto"/>
            <w:tcBorders>
              <w:top w:val="nil"/>
              <w:left w:val="nil"/>
              <w:bottom w:val="nil"/>
              <w:right w:val="nil"/>
            </w:tcBorders>
            <w:shd w:val="clear" w:color="auto" w:fill="auto"/>
            <w:noWrap/>
            <w:tcMar>
              <w:left w:w="72" w:type="dxa"/>
              <w:right w:w="72" w:type="dxa"/>
            </w:tcMar>
            <w:vAlign w:val="bottom"/>
            <w:hideMark/>
          </w:tcPr>
          <w:p w14:paraId="4AF7FC5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(0.13)</w:t>
            </w:r>
          </w:p>
        </w:tc>
        <w:tc>
          <w:tcPr>
            <w:tcW w:w="0" w:type="auto"/>
            <w:tcBorders>
              <w:top w:val="nil"/>
              <w:left w:val="nil"/>
              <w:bottom w:val="nil"/>
              <w:right w:val="nil"/>
            </w:tcBorders>
            <w:shd w:val="clear" w:color="auto" w:fill="auto"/>
            <w:noWrap/>
            <w:tcMar>
              <w:left w:w="72" w:type="dxa"/>
              <w:right w:w="72" w:type="dxa"/>
            </w:tcMar>
            <w:vAlign w:val="bottom"/>
            <w:hideMark/>
          </w:tcPr>
          <w:p w14:paraId="2698409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(0.75)</w:t>
            </w:r>
          </w:p>
        </w:tc>
        <w:tc>
          <w:tcPr>
            <w:tcW w:w="0" w:type="auto"/>
            <w:tcBorders>
              <w:top w:val="nil"/>
              <w:left w:val="nil"/>
              <w:bottom w:val="nil"/>
              <w:right w:val="nil"/>
            </w:tcBorders>
            <w:shd w:val="clear" w:color="auto" w:fill="auto"/>
            <w:noWrap/>
            <w:tcMar>
              <w:left w:w="72" w:type="dxa"/>
              <w:right w:w="72" w:type="dxa"/>
            </w:tcMar>
            <w:vAlign w:val="bottom"/>
            <w:hideMark/>
          </w:tcPr>
          <w:p w14:paraId="39F3AAE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(0.19)</w:t>
            </w:r>
          </w:p>
        </w:tc>
        <w:tc>
          <w:tcPr>
            <w:tcW w:w="0" w:type="auto"/>
            <w:tcBorders>
              <w:top w:val="nil"/>
              <w:left w:val="nil"/>
              <w:bottom w:val="nil"/>
              <w:right w:val="nil"/>
            </w:tcBorders>
            <w:shd w:val="clear" w:color="auto" w:fill="auto"/>
            <w:noWrap/>
            <w:tcMar>
              <w:left w:w="72" w:type="dxa"/>
              <w:right w:w="72" w:type="dxa"/>
            </w:tcMar>
            <w:vAlign w:val="bottom"/>
            <w:hideMark/>
          </w:tcPr>
          <w:p w14:paraId="53F0B1B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(0.05)</w:t>
            </w:r>
          </w:p>
        </w:tc>
        <w:tc>
          <w:tcPr>
            <w:tcW w:w="0" w:type="auto"/>
            <w:tcBorders>
              <w:top w:val="nil"/>
              <w:left w:val="nil"/>
              <w:bottom w:val="nil"/>
              <w:right w:val="nil"/>
            </w:tcBorders>
            <w:shd w:val="clear" w:color="auto" w:fill="auto"/>
            <w:noWrap/>
            <w:tcMar>
              <w:left w:w="72" w:type="dxa"/>
              <w:right w:w="72" w:type="dxa"/>
            </w:tcMar>
            <w:vAlign w:val="bottom"/>
            <w:hideMark/>
          </w:tcPr>
          <w:p w14:paraId="53DEAA1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(0.42)</w:t>
            </w:r>
          </w:p>
        </w:tc>
        <w:tc>
          <w:tcPr>
            <w:tcW w:w="0" w:type="auto"/>
            <w:tcBorders>
              <w:top w:val="nil"/>
              <w:left w:val="nil"/>
              <w:bottom w:val="nil"/>
              <w:right w:val="nil"/>
            </w:tcBorders>
            <w:shd w:val="clear" w:color="auto" w:fill="auto"/>
            <w:noWrap/>
            <w:tcMar>
              <w:left w:w="72" w:type="dxa"/>
              <w:right w:w="72" w:type="dxa"/>
            </w:tcMar>
            <w:vAlign w:val="bottom"/>
            <w:hideMark/>
          </w:tcPr>
          <w:p w14:paraId="20305B2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7A25810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0BD369D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vAlign w:val="bottom"/>
          </w:tcPr>
          <w:p w14:paraId="489052D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63C6037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3E803A3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5845E9C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0D257D8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724DC43D"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C6E3F57"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143125AC"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0E3C4F49" w14:textId="77777777" w:rsidR="0089544F" w:rsidRPr="00263C50" w:rsidRDefault="0089544F" w:rsidP="00186583">
            <w:pPr>
              <w:rPr>
                <w:rFonts w:ascii="Times New Roman" w:hAnsi="Times New Roman" w:cs="Times New Roman"/>
                <w:color w:val="000000"/>
                <w:sz w:val="14"/>
                <w:szCs w:val="14"/>
                <w:lang w:val="en-US"/>
              </w:rPr>
            </w:pPr>
            <w:r w:rsidRPr="00263C50">
              <w:rPr>
                <w:rFonts w:ascii="Times New Roman" w:hAnsi="Times New Roman" w:cs="Times New Roman"/>
                <w:color w:val="000000"/>
                <w:sz w:val="14"/>
                <w:szCs w:val="14"/>
              </w:rPr>
              <w:t>Age</w:t>
            </w:r>
          </w:p>
        </w:tc>
        <w:tc>
          <w:tcPr>
            <w:tcW w:w="0" w:type="auto"/>
            <w:tcBorders>
              <w:top w:val="nil"/>
              <w:left w:val="nil"/>
              <w:bottom w:val="nil"/>
              <w:right w:val="nil"/>
            </w:tcBorders>
            <w:vAlign w:val="bottom"/>
          </w:tcPr>
          <w:p w14:paraId="3ABA639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0.26</w:t>
            </w:r>
          </w:p>
        </w:tc>
        <w:tc>
          <w:tcPr>
            <w:tcW w:w="0" w:type="auto"/>
            <w:tcBorders>
              <w:top w:val="nil"/>
              <w:left w:val="nil"/>
              <w:bottom w:val="nil"/>
              <w:right w:val="nil"/>
            </w:tcBorders>
            <w:vAlign w:val="bottom"/>
          </w:tcPr>
          <w:p w14:paraId="1B8B309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0.28</w:t>
            </w:r>
          </w:p>
        </w:tc>
        <w:tc>
          <w:tcPr>
            <w:tcW w:w="0" w:type="auto"/>
            <w:tcBorders>
              <w:top w:val="nil"/>
              <w:left w:val="nil"/>
              <w:bottom w:val="nil"/>
              <w:right w:val="nil"/>
            </w:tcBorders>
            <w:shd w:val="clear" w:color="auto" w:fill="auto"/>
            <w:noWrap/>
            <w:tcMar>
              <w:left w:w="72" w:type="dxa"/>
              <w:right w:w="72" w:type="dxa"/>
            </w:tcMar>
            <w:vAlign w:val="bottom"/>
            <w:hideMark/>
          </w:tcPr>
          <w:p w14:paraId="45D39BB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0.07</w:t>
            </w:r>
          </w:p>
        </w:tc>
        <w:tc>
          <w:tcPr>
            <w:tcW w:w="0" w:type="auto"/>
            <w:tcBorders>
              <w:top w:val="nil"/>
              <w:left w:val="nil"/>
              <w:bottom w:val="nil"/>
              <w:right w:val="nil"/>
            </w:tcBorders>
            <w:shd w:val="clear" w:color="auto" w:fill="auto"/>
            <w:noWrap/>
            <w:tcMar>
              <w:left w:w="72" w:type="dxa"/>
              <w:right w:w="72" w:type="dxa"/>
            </w:tcMar>
            <w:vAlign w:val="bottom"/>
            <w:hideMark/>
          </w:tcPr>
          <w:p w14:paraId="6209C8A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0.20</w:t>
            </w:r>
          </w:p>
        </w:tc>
        <w:tc>
          <w:tcPr>
            <w:tcW w:w="0" w:type="auto"/>
            <w:tcBorders>
              <w:top w:val="nil"/>
              <w:left w:val="nil"/>
              <w:bottom w:val="nil"/>
              <w:right w:val="nil"/>
            </w:tcBorders>
            <w:shd w:val="clear" w:color="auto" w:fill="auto"/>
            <w:noWrap/>
            <w:tcMar>
              <w:left w:w="72" w:type="dxa"/>
              <w:right w:w="72" w:type="dxa"/>
            </w:tcMar>
            <w:vAlign w:val="bottom"/>
            <w:hideMark/>
          </w:tcPr>
          <w:p w14:paraId="2C6343E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-0.33</w:t>
            </w:r>
          </w:p>
        </w:tc>
        <w:tc>
          <w:tcPr>
            <w:tcW w:w="0" w:type="auto"/>
            <w:tcBorders>
              <w:top w:val="nil"/>
              <w:left w:val="nil"/>
              <w:bottom w:val="nil"/>
              <w:right w:val="nil"/>
            </w:tcBorders>
            <w:shd w:val="clear" w:color="auto" w:fill="auto"/>
            <w:noWrap/>
            <w:tcMar>
              <w:left w:w="72" w:type="dxa"/>
              <w:right w:w="72" w:type="dxa"/>
            </w:tcMar>
            <w:vAlign w:val="bottom"/>
            <w:hideMark/>
          </w:tcPr>
          <w:p w14:paraId="772FAB5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0.18</w:t>
            </w:r>
          </w:p>
        </w:tc>
        <w:tc>
          <w:tcPr>
            <w:tcW w:w="0" w:type="auto"/>
            <w:tcBorders>
              <w:top w:val="nil"/>
              <w:left w:val="nil"/>
              <w:bottom w:val="nil"/>
              <w:right w:val="nil"/>
            </w:tcBorders>
            <w:shd w:val="clear" w:color="auto" w:fill="auto"/>
            <w:noWrap/>
            <w:tcMar>
              <w:left w:w="72" w:type="dxa"/>
              <w:right w:w="72" w:type="dxa"/>
            </w:tcMar>
            <w:vAlign w:val="bottom"/>
            <w:hideMark/>
          </w:tcPr>
          <w:p w14:paraId="7ACDD11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0.12</w:t>
            </w:r>
          </w:p>
        </w:tc>
        <w:tc>
          <w:tcPr>
            <w:tcW w:w="0" w:type="auto"/>
            <w:tcBorders>
              <w:top w:val="nil"/>
              <w:left w:val="nil"/>
              <w:bottom w:val="nil"/>
              <w:right w:val="nil"/>
            </w:tcBorders>
            <w:shd w:val="clear" w:color="auto" w:fill="auto"/>
            <w:noWrap/>
            <w:tcMar>
              <w:left w:w="72" w:type="dxa"/>
              <w:right w:w="72" w:type="dxa"/>
            </w:tcMar>
            <w:vAlign w:val="bottom"/>
            <w:hideMark/>
          </w:tcPr>
          <w:p w14:paraId="44DB7C7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0.23</w:t>
            </w:r>
          </w:p>
        </w:tc>
        <w:tc>
          <w:tcPr>
            <w:tcW w:w="0" w:type="auto"/>
            <w:tcBorders>
              <w:top w:val="nil"/>
              <w:left w:val="nil"/>
              <w:bottom w:val="nil"/>
              <w:right w:val="nil"/>
            </w:tcBorders>
            <w:shd w:val="clear" w:color="auto" w:fill="auto"/>
            <w:noWrap/>
            <w:tcMar>
              <w:left w:w="72" w:type="dxa"/>
              <w:right w:w="72" w:type="dxa"/>
            </w:tcMar>
            <w:vAlign w:val="bottom"/>
            <w:hideMark/>
          </w:tcPr>
          <w:p w14:paraId="334350C7"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0.10</w:t>
            </w:r>
          </w:p>
        </w:tc>
        <w:tc>
          <w:tcPr>
            <w:tcW w:w="0" w:type="auto"/>
            <w:tcBorders>
              <w:top w:val="nil"/>
              <w:left w:val="nil"/>
              <w:bottom w:val="nil"/>
              <w:right w:val="nil"/>
            </w:tcBorders>
            <w:shd w:val="clear" w:color="auto" w:fill="auto"/>
            <w:noWrap/>
            <w:tcMar>
              <w:left w:w="72" w:type="dxa"/>
              <w:right w:w="72" w:type="dxa"/>
            </w:tcMar>
            <w:vAlign w:val="bottom"/>
            <w:hideMark/>
          </w:tcPr>
          <w:p w14:paraId="387EB0D2"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shd w:val="clear" w:color="auto" w:fill="auto"/>
            <w:noWrap/>
            <w:tcMar>
              <w:left w:w="72" w:type="dxa"/>
              <w:right w:w="72" w:type="dxa"/>
            </w:tcMar>
            <w:vAlign w:val="bottom"/>
            <w:hideMark/>
          </w:tcPr>
          <w:p w14:paraId="6F52298D"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3E10E814"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9A429CC"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19E44B7B"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66307563"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6C1450A5"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6266C98B"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1C4EC03A"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6BF39B53"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3C7EFE98" w14:textId="77777777" w:rsidR="0089544F" w:rsidRPr="00263C50" w:rsidRDefault="0089544F" w:rsidP="00186583">
            <w:pP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6EF9CF2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vAlign w:val="bottom"/>
          </w:tcPr>
          <w:p w14:paraId="008D056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3D14179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(0.37)</w:t>
            </w:r>
          </w:p>
        </w:tc>
        <w:tc>
          <w:tcPr>
            <w:tcW w:w="0" w:type="auto"/>
            <w:tcBorders>
              <w:top w:val="nil"/>
              <w:left w:val="nil"/>
              <w:bottom w:val="nil"/>
              <w:right w:val="nil"/>
            </w:tcBorders>
            <w:shd w:val="clear" w:color="auto" w:fill="auto"/>
            <w:noWrap/>
            <w:tcMar>
              <w:left w:w="72" w:type="dxa"/>
              <w:right w:w="72" w:type="dxa"/>
            </w:tcMar>
            <w:vAlign w:val="bottom"/>
            <w:hideMark/>
          </w:tcPr>
          <w:p w14:paraId="46DA661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(0.02)</w:t>
            </w:r>
          </w:p>
        </w:tc>
        <w:tc>
          <w:tcPr>
            <w:tcW w:w="0" w:type="auto"/>
            <w:tcBorders>
              <w:top w:val="nil"/>
              <w:left w:val="nil"/>
              <w:bottom w:val="nil"/>
              <w:right w:val="nil"/>
            </w:tcBorders>
            <w:shd w:val="clear" w:color="auto" w:fill="auto"/>
            <w:noWrap/>
            <w:tcMar>
              <w:left w:w="72" w:type="dxa"/>
              <w:right w:w="72" w:type="dxa"/>
            </w:tcMar>
            <w:vAlign w:val="bottom"/>
            <w:hideMark/>
          </w:tcPr>
          <w:p w14:paraId="438B119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492E9F2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(0.03)</w:t>
            </w:r>
          </w:p>
        </w:tc>
        <w:tc>
          <w:tcPr>
            <w:tcW w:w="0" w:type="auto"/>
            <w:tcBorders>
              <w:top w:val="nil"/>
              <w:left w:val="nil"/>
              <w:bottom w:val="nil"/>
              <w:right w:val="nil"/>
            </w:tcBorders>
            <w:shd w:val="clear" w:color="auto" w:fill="auto"/>
            <w:noWrap/>
            <w:tcMar>
              <w:left w:w="72" w:type="dxa"/>
              <w:right w:w="72" w:type="dxa"/>
            </w:tcMar>
            <w:vAlign w:val="bottom"/>
            <w:hideMark/>
          </w:tcPr>
          <w:p w14:paraId="1C9C7815" w14:textId="77777777" w:rsidR="0089544F" w:rsidRPr="00263C50" w:rsidRDefault="0089544F" w:rsidP="00186583">
            <w:pPr>
              <w:jc w:val="center"/>
              <w:rPr>
                <w:rFonts w:ascii="Times New Roman" w:hAnsi="Times New Roman" w:cs="Times New Roman"/>
                <w:color w:val="000000"/>
                <w:sz w:val="14"/>
                <w:szCs w:val="14"/>
                <w:lang w:val="en-US"/>
              </w:rPr>
            </w:pPr>
            <w:r w:rsidRPr="00263C50">
              <w:rPr>
                <w:rFonts w:ascii="Times New Roman" w:hAnsi="Times New Roman" w:cs="Times New Roman"/>
                <w:color w:val="000000"/>
                <w:sz w:val="14"/>
                <w:szCs w:val="14"/>
              </w:rPr>
              <w:t>(0.17)</w:t>
            </w:r>
          </w:p>
        </w:tc>
        <w:tc>
          <w:tcPr>
            <w:tcW w:w="0" w:type="auto"/>
            <w:tcBorders>
              <w:top w:val="nil"/>
              <w:left w:val="nil"/>
              <w:bottom w:val="nil"/>
              <w:right w:val="nil"/>
            </w:tcBorders>
            <w:shd w:val="clear" w:color="auto" w:fill="auto"/>
            <w:noWrap/>
            <w:tcMar>
              <w:left w:w="72" w:type="dxa"/>
              <w:right w:w="72" w:type="dxa"/>
            </w:tcMar>
            <w:vAlign w:val="bottom"/>
            <w:hideMark/>
          </w:tcPr>
          <w:p w14:paraId="39B77A19"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(0.01)</w:t>
            </w:r>
          </w:p>
        </w:tc>
        <w:tc>
          <w:tcPr>
            <w:tcW w:w="0" w:type="auto"/>
            <w:tcBorders>
              <w:top w:val="nil"/>
              <w:left w:val="nil"/>
              <w:bottom w:val="nil"/>
              <w:right w:val="nil"/>
            </w:tcBorders>
            <w:shd w:val="clear" w:color="auto" w:fill="auto"/>
            <w:noWrap/>
            <w:tcMar>
              <w:left w:w="72" w:type="dxa"/>
              <w:right w:w="72" w:type="dxa"/>
            </w:tcMar>
            <w:vAlign w:val="bottom"/>
            <w:hideMark/>
          </w:tcPr>
          <w:p w14:paraId="4ED3DAF6"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(0.21)</w:t>
            </w:r>
          </w:p>
        </w:tc>
        <w:tc>
          <w:tcPr>
            <w:tcW w:w="0" w:type="auto"/>
            <w:tcBorders>
              <w:top w:val="nil"/>
              <w:left w:val="nil"/>
              <w:bottom w:val="nil"/>
              <w:right w:val="nil"/>
            </w:tcBorders>
            <w:shd w:val="clear" w:color="auto" w:fill="auto"/>
            <w:noWrap/>
            <w:tcMar>
              <w:left w:w="72" w:type="dxa"/>
              <w:right w:w="72" w:type="dxa"/>
            </w:tcMar>
            <w:vAlign w:val="bottom"/>
            <w:hideMark/>
          </w:tcPr>
          <w:p w14:paraId="3083ECF4"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0262175"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61DE7705"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E88DBC6"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364166B"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41BCD865"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04C66626"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4A496FE9"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7E5708A5" w14:textId="77777777" w:rsidR="0089544F" w:rsidRPr="00263C50" w:rsidRDefault="0089544F" w:rsidP="00186583">
            <w:pPr>
              <w:jc w:val="center"/>
              <w:rPr>
                <w:rFonts w:ascii="Times New Roman" w:eastAsia="Times New Roman" w:hAnsi="Times New Roman" w:cs="Times New Roman"/>
                <w:sz w:val="14"/>
                <w:szCs w:val="14"/>
                <w:lang w:val="en-US" w:eastAsia="zh-TW"/>
              </w:rPr>
            </w:pPr>
          </w:p>
        </w:tc>
      </w:tr>
      <w:tr w:rsidR="0089544F" w:rsidRPr="00263C50" w14:paraId="662F319F"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7B9AA2E1" w14:textId="77777777" w:rsidR="0089544F" w:rsidRPr="00263C50" w:rsidRDefault="0089544F" w:rsidP="00186583">
            <w:pPr>
              <w:rPr>
                <w:rFonts w:ascii="Times New Roman" w:hAnsi="Times New Roman" w:cs="Times New Roman"/>
                <w:color w:val="000000"/>
                <w:sz w:val="14"/>
                <w:szCs w:val="14"/>
                <w:lang w:val="en-US"/>
              </w:rPr>
            </w:pPr>
            <w:proofErr w:type="spellStart"/>
            <w:r w:rsidRPr="00263C50">
              <w:rPr>
                <w:rFonts w:ascii="Times New Roman" w:hAnsi="Times New Roman" w:cs="Times New Roman"/>
                <w:color w:val="000000"/>
                <w:sz w:val="14"/>
                <w:szCs w:val="14"/>
              </w:rPr>
              <w:t>WrkExp</w:t>
            </w:r>
            <w:proofErr w:type="spellEnd"/>
          </w:p>
        </w:tc>
        <w:tc>
          <w:tcPr>
            <w:tcW w:w="0" w:type="auto"/>
            <w:tcBorders>
              <w:top w:val="nil"/>
              <w:left w:val="nil"/>
              <w:bottom w:val="nil"/>
              <w:right w:val="nil"/>
            </w:tcBorders>
            <w:vAlign w:val="bottom"/>
          </w:tcPr>
          <w:p w14:paraId="766788F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-0.05</w:t>
            </w:r>
          </w:p>
        </w:tc>
        <w:tc>
          <w:tcPr>
            <w:tcW w:w="0" w:type="auto"/>
            <w:tcBorders>
              <w:top w:val="nil"/>
              <w:left w:val="nil"/>
              <w:bottom w:val="nil"/>
              <w:right w:val="nil"/>
            </w:tcBorders>
            <w:vAlign w:val="bottom"/>
          </w:tcPr>
          <w:p w14:paraId="7CFDABD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0.09</w:t>
            </w:r>
          </w:p>
        </w:tc>
        <w:tc>
          <w:tcPr>
            <w:tcW w:w="0" w:type="auto"/>
            <w:tcBorders>
              <w:top w:val="nil"/>
              <w:left w:val="nil"/>
              <w:bottom w:val="nil"/>
              <w:right w:val="nil"/>
            </w:tcBorders>
            <w:shd w:val="clear" w:color="auto" w:fill="auto"/>
            <w:noWrap/>
            <w:tcMar>
              <w:left w:w="72" w:type="dxa"/>
              <w:right w:w="72" w:type="dxa"/>
            </w:tcMar>
            <w:vAlign w:val="bottom"/>
            <w:hideMark/>
          </w:tcPr>
          <w:p w14:paraId="2AB54D2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0.01</w:t>
            </w:r>
          </w:p>
        </w:tc>
        <w:tc>
          <w:tcPr>
            <w:tcW w:w="0" w:type="auto"/>
            <w:tcBorders>
              <w:top w:val="nil"/>
              <w:left w:val="nil"/>
              <w:bottom w:val="nil"/>
              <w:right w:val="nil"/>
            </w:tcBorders>
            <w:shd w:val="clear" w:color="auto" w:fill="auto"/>
            <w:noWrap/>
            <w:tcMar>
              <w:left w:w="72" w:type="dxa"/>
              <w:right w:w="72" w:type="dxa"/>
            </w:tcMar>
            <w:vAlign w:val="bottom"/>
            <w:hideMark/>
          </w:tcPr>
          <w:p w14:paraId="085E0ED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0.10</w:t>
            </w:r>
          </w:p>
        </w:tc>
        <w:tc>
          <w:tcPr>
            <w:tcW w:w="0" w:type="auto"/>
            <w:tcBorders>
              <w:top w:val="nil"/>
              <w:left w:val="nil"/>
              <w:bottom w:val="nil"/>
              <w:right w:val="nil"/>
            </w:tcBorders>
            <w:shd w:val="clear" w:color="auto" w:fill="auto"/>
            <w:noWrap/>
            <w:tcMar>
              <w:left w:w="72" w:type="dxa"/>
              <w:right w:w="72" w:type="dxa"/>
            </w:tcMar>
            <w:vAlign w:val="bottom"/>
            <w:hideMark/>
          </w:tcPr>
          <w:p w14:paraId="1B6B112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-0.15</w:t>
            </w:r>
          </w:p>
        </w:tc>
        <w:tc>
          <w:tcPr>
            <w:tcW w:w="0" w:type="auto"/>
            <w:tcBorders>
              <w:top w:val="nil"/>
              <w:left w:val="nil"/>
              <w:bottom w:val="nil"/>
              <w:right w:val="nil"/>
            </w:tcBorders>
            <w:shd w:val="clear" w:color="auto" w:fill="auto"/>
            <w:noWrap/>
            <w:tcMar>
              <w:left w:w="72" w:type="dxa"/>
              <w:right w:w="72" w:type="dxa"/>
            </w:tcMar>
            <w:vAlign w:val="bottom"/>
            <w:hideMark/>
          </w:tcPr>
          <w:p w14:paraId="757D41C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0.09</w:t>
            </w:r>
          </w:p>
        </w:tc>
        <w:tc>
          <w:tcPr>
            <w:tcW w:w="0" w:type="auto"/>
            <w:tcBorders>
              <w:top w:val="nil"/>
              <w:left w:val="nil"/>
              <w:bottom w:val="nil"/>
              <w:right w:val="nil"/>
            </w:tcBorders>
            <w:shd w:val="clear" w:color="auto" w:fill="auto"/>
            <w:noWrap/>
            <w:tcMar>
              <w:left w:w="72" w:type="dxa"/>
              <w:right w:w="72" w:type="dxa"/>
            </w:tcMar>
            <w:vAlign w:val="bottom"/>
            <w:hideMark/>
          </w:tcPr>
          <w:p w14:paraId="615270B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-0.09</w:t>
            </w:r>
          </w:p>
        </w:tc>
        <w:tc>
          <w:tcPr>
            <w:tcW w:w="0" w:type="auto"/>
            <w:tcBorders>
              <w:top w:val="nil"/>
              <w:left w:val="nil"/>
              <w:bottom w:val="nil"/>
              <w:right w:val="nil"/>
            </w:tcBorders>
            <w:shd w:val="clear" w:color="auto" w:fill="auto"/>
            <w:noWrap/>
            <w:tcMar>
              <w:left w:w="72" w:type="dxa"/>
              <w:right w:w="72" w:type="dxa"/>
            </w:tcMar>
            <w:vAlign w:val="bottom"/>
            <w:hideMark/>
          </w:tcPr>
          <w:p w14:paraId="32BB50D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0.09</w:t>
            </w:r>
          </w:p>
        </w:tc>
        <w:tc>
          <w:tcPr>
            <w:tcW w:w="0" w:type="auto"/>
            <w:tcBorders>
              <w:top w:val="nil"/>
              <w:left w:val="nil"/>
              <w:bottom w:val="nil"/>
              <w:right w:val="nil"/>
            </w:tcBorders>
            <w:shd w:val="clear" w:color="auto" w:fill="auto"/>
            <w:noWrap/>
            <w:tcMar>
              <w:left w:w="72" w:type="dxa"/>
              <w:right w:w="72" w:type="dxa"/>
            </w:tcMar>
            <w:vAlign w:val="bottom"/>
            <w:hideMark/>
          </w:tcPr>
          <w:p w14:paraId="5718DD3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-0.17</w:t>
            </w:r>
          </w:p>
        </w:tc>
        <w:tc>
          <w:tcPr>
            <w:tcW w:w="0" w:type="auto"/>
            <w:tcBorders>
              <w:top w:val="nil"/>
              <w:left w:val="nil"/>
              <w:bottom w:val="nil"/>
              <w:right w:val="nil"/>
            </w:tcBorders>
            <w:shd w:val="clear" w:color="auto" w:fill="auto"/>
            <w:noWrap/>
            <w:tcMar>
              <w:left w:w="72" w:type="dxa"/>
              <w:right w:w="72" w:type="dxa"/>
            </w:tcMar>
            <w:vAlign w:val="bottom"/>
            <w:hideMark/>
          </w:tcPr>
          <w:p w14:paraId="6FEC292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0.01</w:t>
            </w:r>
          </w:p>
        </w:tc>
        <w:tc>
          <w:tcPr>
            <w:tcW w:w="0" w:type="auto"/>
            <w:tcBorders>
              <w:top w:val="nil"/>
              <w:left w:val="nil"/>
              <w:bottom w:val="nil"/>
              <w:right w:val="nil"/>
            </w:tcBorders>
            <w:shd w:val="clear" w:color="auto" w:fill="auto"/>
            <w:noWrap/>
            <w:tcMar>
              <w:left w:w="72" w:type="dxa"/>
              <w:right w:w="72" w:type="dxa"/>
            </w:tcMar>
            <w:vAlign w:val="bottom"/>
            <w:hideMark/>
          </w:tcPr>
          <w:p w14:paraId="51F4902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vAlign w:val="bottom"/>
          </w:tcPr>
          <w:p w14:paraId="2E4AAB6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019DEDE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22BC70D7"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3241AB3E"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1C534547"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41956529"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1B56A61C"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29E1CCD6"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3B8F9C78" w14:textId="77777777" w:rsidR="0089544F" w:rsidRPr="00263C50" w:rsidRDefault="0089544F" w:rsidP="00186583">
            <w:pP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0F727D2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(0.54)</w:t>
            </w:r>
          </w:p>
        </w:tc>
        <w:tc>
          <w:tcPr>
            <w:tcW w:w="0" w:type="auto"/>
            <w:tcBorders>
              <w:top w:val="nil"/>
              <w:left w:val="nil"/>
              <w:bottom w:val="nil"/>
              <w:right w:val="nil"/>
            </w:tcBorders>
            <w:vAlign w:val="bottom"/>
          </w:tcPr>
          <w:p w14:paraId="3638785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(0.26)</w:t>
            </w:r>
          </w:p>
        </w:tc>
        <w:tc>
          <w:tcPr>
            <w:tcW w:w="0" w:type="auto"/>
            <w:tcBorders>
              <w:top w:val="nil"/>
              <w:left w:val="nil"/>
              <w:bottom w:val="nil"/>
              <w:right w:val="nil"/>
            </w:tcBorders>
            <w:shd w:val="clear" w:color="auto" w:fill="auto"/>
            <w:noWrap/>
            <w:tcMar>
              <w:left w:w="72" w:type="dxa"/>
              <w:right w:w="72" w:type="dxa"/>
            </w:tcMar>
            <w:vAlign w:val="bottom"/>
            <w:hideMark/>
          </w:tcPr>
          <w:p w14:paraId="2F6E8C4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(0.89)</w:t>
            </w:r>
          </w:p>
        </w:tc>
        <w:tc>
          <w:tcPr>
            <w:tcW w:w="0" w:type="auto"/>
            <w:tcBorders>
              <w:top w:val="nil"/>
              <w:left w:val="nil"/>
              <w:bottom w:val="nil"/>
              <w:right w:val="nil"/>
            </w:tcBorders>
            <w:shd w:val="clear" w:color="auto" w:fill="auto"/>
            <w:noWrap/>
            <w:tcMar>
              <w:left w:w="72" w:type="dxa"/>
              <w:right w:w="72" w:type="dxa"/>
            </w:tcMar>
            <w:vAlign w:val="bottom"/>
            <w:hideMark/>
          </w:tcPr>
          <w:p w14:paraId="3F079F3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(0.25)</w:t>
            </w:r>
          </w:p>
        </w:tc>
        <w:tc>
          <w:tcPr>
            <w:tcW w:w="0" w:type="auto"/>
            <w:tcBorders>
              <w:top w:val="nil"/>
              <w:left w:val="nil"/>
              <w:bottom w:val="nil"/>
              <w:right w:val="nil"/>
            </w:tcBorders>
            <w:shd w:val="clear" w:color="auto" w:fill="auto"/>
            <w:noWrap/>
            <w:tcMar>
              <w:left w:w="72" w:type="dxa"/>
              <w:right w:w="72" w:type="dxa"/>
            </w:tcMar>
            <w:vAlign w:val="bottom"/>
            <w:hideMark/>
          </w:tcPr>
          <w:p w14:paraId="2273AF4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(0.07)</w:t>
            </w:r>
          </w:p>
        </w:tc>
        <w:tc>
          <w:tcPr>
            <w:tcW w:w="0" w:type="auto"/>
            <w:tcBorders>
              <w:top w:val="nil"/>
              <w:left w:val="nil"/>
              <w:bottom w:val="nil"/>
              <w:right w:val="nil"/>
            </w:tcBorders>
            <w:shd w:val="clear" w:color="auto" w:fill="auto"/>
            <w:noWrap/>
            <w:tcMar>
              <w:left w:w="72" w:type="dxa"/>
              <w:right w:w="72" w:type="dxa"/>
            </w:tcMar>
            <w:vAlign w:val="bottom"/>
            <w:hideMark/>
          </w:tcPr>
          <w:p w14:paraId="4B18671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(0.26)</w:t>
            </w:r>
          </w:p>
        </w:tc>
        <w:tc>
          <w:tcPr>
            <w:tcW w:w="0" w:type="auto"/>
            <w:tcBorders>
              <w:top w:val="nil"/>
              <w:left w:val="nil"/>
              <w:bottom w:val="nil"/>
              <w:right w:val="nil"/>
            </w:tcBorders>
            <w:shd w:val="clear" w:color="auto" w:fill="auto"/>
            <w:noWrap/>
            <w:tcMar>
              <w:left w:w="72" w:type="dxa"/>
              <w:right w:w="72" w:type="dxa"/>
            </w:tcMar>
            <w:vAlign w:val="bottom"/>
            <w:hideMark/>
          </w:tcPr>
          <w:p w14:paraId="0238134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(0.31)</w:t>
            </w:r>
          </w:p>
        </w:tc>
        <w:tc>
          <w:tcPr>
            <w:tcW w:w="0" w:type="auto"/>
            <w:tcBorders>
              <w:top w:val="nil"/>
              <w:left w:val="nil"/>
              <w:bottom w:val="nil"/>
              <w:right w:val="nil"/>
            </w:tcBorders>
            <w:shd w:val="clear" w:color="auto" w:fill="auto"/>
            <w:noWrap/>
            <w:tcMar>
              <w:left w:w="72" w:type="dxa"/>
              <w:right w:w="72" w:type="dxa"/>
            </w:tcMar>
            <w:vAlign w:val="bottom"/>
            <w:hideMark/>
          </w:tcPr>
          <w:p w14:paraId="3C488BE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(0.31)</w:t>
            </w:r>
          </w:p>
        </w:tc>
        <w:tc>
          <w:tcPr>
            <w:tcW w:w="0" w:type="auto"/>
            <w:tcBorders>
              <w:top w:val="nil"/>
              <w:left w:val="nil"/>
              <w:bottom w:val="nil"/>
              <w:right w:val="nil"/>
            </w:tcBorders>
            <w:shd w:val="clear" w:color="auto" w:fill="auto"/>
            <w:noWrap/>
            <w:tcMar>
              <w:left w:w="72" w:type="dxa"/>
              <w:right w:w="72" w:type="dxa"/>
            </w:tcMar>
            <w:vAlign w:val="bottom"/>
            <w:hideMark/>
          </w:tcPr>
          <w:p w14:paraId="462BA8C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(0.05)</w:t>
            </w:r>
          </w:p>
        </w:tc>
        <w:tc>
          <w:tcPr>
            <w:tcW w:w="0" w:type="auto"/>
            <w:tcBorders>
              <w:top w:val="nil"/>
              <w:left w:val="nil"/>
              <w:bottom w:val="nil"/>
              <w:right w:val="nil"/>
            </w:tcBorders>
            <w:shd w:val="clear" w:color="auto" w:fill="auto"/>
            <w:noWrap/>
            <w:tcMar>
              <w:left w:w="72" w:type="dxa"/>
              <w:right w:w="72" w:type="dxa"/>
            </w:tcMar>
            <w:vAlign w:val="bottom"/>
            <w:hideMark/>
          </w:tcPr>
          <w:p w14:paraId="13F5FFC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(0.86)</w:t>
            </w:r>
          </w:p>
        </w:tc>
        <w:tc>
          <w:tcPr>
            <w:tcW w:w="0" w:type="auto"/>
            <w:tcBorders>
              <w:top w:val="nil"/>
              <w:left w:val="nil"/>
              <w:bottom w:val="nil"/>
              <w:right w:val="nil"/>
            </w:tcBorders>
            <w:shd w:val="clear" w:color="auto" w:fill="auto"/>
            <w:noWrap/>
            <w:tcMar>
              <w:left w:w="72" w:type="dxa"/>
              <w:right w:w="72" w:type="dxa"/>
            </w:tcMar>
            <w:vAlign w:val="bottom"/>
            <w:hideMark/>
          </w:tcPr>
          <w:p w14:paraId="5F62654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vAlign w:val="bottom"/>
          </w:tcPr>
          <w:p w14:paraId="5CD576BE"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04393836"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22E1349"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CA69CAD"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7ED58BC9"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61609049"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08C1A82"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000F9DC9"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567BFEE3" w14:textId="77777777" w:rsidR="0089544F" w:rsidRPr="00263C50" w:rsidRDefault="0089544F" w:rsidP="00186583">
            <w:pPr>
              <w:rPr>
                <w:rFonts w:ascii="Times New Roman" w:hAnsi="Times New Roman" w:cs="Times New Roman"/>
                <w:color w:val="000000"/>
                <w:sz w:val="14"/>
                <w:szCs w:val="14"/>
                <w:lang w:val="en-US"/>
              </w:rPr>
            </w:pPr>
            <w:proofErr w:type="spellStart"/>
            <w:r w:rsidRPr="00263C50">
              <w:rPr>
                <w:rFonts w:ascii="Times New Roman" w:hAnsi="Times New Roman" w:cs="Times New Roman"/>
                <w:color w:val="000000"/>
                <w:sz w:val="14"/>
                <w:szCs w:val="14"/>
              </w:rPr>
              <w:t>PaperFile</w:t>
            </w:r>
            <w:proofErr w:type="spellEnd"/>
          </w:p>
        </w:tc>
        <w:tc>
          <w:tcPr>
            <w:tcW w:w="0" w:type="auto"/>
            <w:tcBorders>
              <w:top w:val="nil"/>
              <w:left w:val="nil"/>
              <w:bottom w:val="nil"/>
              <w:right w:val="nil"/>
            </w:tcBorders>
            <w:vAlign w:val="bottom"/>
          </w:tcPr>
          <w:p w14:paraId="6DEE3FC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0.12</w:t>
            </w:r>
          </w:p>
        </w:tc>
        <w:tc>
          <w:tcPr>
            <w:tcW w:w="0" w:type="auto"/>
            <w:tcBorders>
              <w:top w:val="nil"/>
              <w:left w:val="nil"/>
              <w:bottom w:val="nil"/>
              <w:right w:val="nil"/>
            </w:tcBorders>
            <w:vAlign w:val="bottom"/>
          </w:tcPr>
          <w:p w14:paraId="6812868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0.27</w:t>
            </w:r>
          </w:p>
        </w:tc>
        <w:tc>
          <w:tcPr>
            <w:tcW w:w="0" w:type="auto"/>
            <w:tcBorders>
              <w:top w:val="nil"/>
              <w:left w:val="nil"/>
              <w:bottom w:val="nil"/>
              <w:right w:val="nil"/>
            </w:tcBorders>
            <w:shd w:val="clear" w:color="auto" w:fill="auto"/>
            <w:noWrap/>
            <w:tcMar>
              <w:left w:w="72" w:type="dxa"/>
              <w:right w:w="72" w:type="dxa"/>
            </w:tcMar>
            <w:vAlign w:val="bottom"/>
            <w:hideMark/>
          </w:tcPr>
          <w:p w14:paraId="29C0721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0.16</w:t>
            </w:r>
          </w:p>
        </w:tc>
        <w:tc>
          <w:tcPr>
            <w:tcW w:w="0" w:type="auto"/>
            <w:tcBorders>
              <w:top w:val="nil"/>
              <w:left w:val="nil"/>
              <w:bottom w:val="nil"/>
              <w:right w:val="nil"/>
            </w:tcBorders>
            <w:shd w:val="clear" w:color="auto" w:fill="auto"/>
            <w:noWrap/>
            <w:tcMar>
              <w:left w:w="72" w:type="dxa"/>
              <w:right w:w="72" w:type="dxa"/>
            </w:tcMar>
            <w:vAlign w:val="bottom"/>
            <w:hideMark/>
          </w:tcPr>
          <w:p w14:paraId="56E4BB6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0.13</w:t>
            </w:r>
          </w:p>
        </w:tc>
        <w:tc>
          <w:tcPr>
            <w:tcW w:w="0" w:type="auto"/>
            <w:tcBorders>
              <w:top w:val="nil"/>
              <w:left w:val="nil"/>
              <w:bottom w:val="nil"/>
              <w:right w:val="nil"/>
            </w:tcBorders>
            <w:shd w:val="clear" w:color="auto" w:fill="auto"/>
            <w:noWrap/>
            <w:tcMar>
              <w:left w:w="72" w:type="dxa"/>
              <w:right w:w="72" w:type="dxa"/>
            </w:tcMar>
            <w:vAlign w:val="bottom"/>
            <w:hideMark/>
          </w:tcPr>
          <w:p w14:paraId="1FF67EB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-0.14</w:t>
            </w:r>
          </w:p>
        </w:tc>
        <w:tc>
          <w:tcPr>
            <w:tcW w:w="0" w:type="auto"/>
            <w:tcBorders>
              <w:top w:val="nil"/>
              <w:left w:val="nil"/>
              <w:bottom w:val="nil"/>
              <w:right w:val="nil"/>
            </w:tcBorders>
            <w:shd w:val="clear" w:color="auto" w:fill="auto"/>
            <w:noWrap/>
            <w:tcMar>
              <w:left w:w="72" w:type="dxa"/>
              <w:right w:w="72" w:type="dxa"/>
            </w:tcMar>
            <w:vAlign w:val="bottom"/>
            <w:hideMark/>
          </w:tcPr>
          <w:p w14:paraId="4E67141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0.07</w:t>
            </w:r>
          </w:p>
        </w:tc>
        <w:tc>
          <w:tcPr>
            <w:tcW w:w="0" w:type="auto"/>
            <w:tcBorders>
              <w:top w:val="nil"/>
              <w:left w:val="nil"/>
              <w:bottom w:val="nil"/>
              <w:right w:val="nil"/>
            </w:tcBorders>
            <w:shd w:val="clear" w:color="auto" w:fill="auto"/>
            <w:noWrap/>
            <w:tcMar>
              <w:left w:w="72" w:type="dxa"/>
              <w:right w:w="72" w:type="dxa"/>
            </w:tcMar>
            <w:vAlign w:val="bottom"/>
            <w:hideMark/>
          </w:tcPr>
          <w:p w14:paraId="637A43E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-0.06</w:t>
            </w:r>
          </w:p>
        </w:tc>
        <w:tc>
          <w:tcPr>
            <w:tcW w:w="0" w:type="auto"/>
            <w:tcBorders>
              <w:top w:val="nil"/>
              <w:left w:val="nil"/>
              <w:bottom w:val="nil"/>
              <w:right w:val="nil"/>
            </w:tcBorders>
            <w:shd w:val="clear" w:color="auto" w:fill="auto"/>
            <w:noWrap/>
            <w:tcMar>
              <w:left w:w="72" w:type="dxa"/>
              <w:right w:w="72" w:type="dxa"/>
            </w:tcMar>
            <w:vAlign w:val="bottom"/>
            <w:hideMark/>
          </w:tcPr>
          <w:p w14:paraId="648C637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78D1996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-0.02</w:t>
            </w:r>
          </w:p>
        </w:tc>
        <w:tc>
          <w:tcPr>
            <w:tcW w:w="0" w:type="auto"/>
            <w:tcBorders>
              <w:top w:val="nil"/>
              <w:left w:val="nil"/>
              <w:bottom w:val="nil"/>
              <w:right w:val="nil"/>
            </w:tcBorders>
            <w:shd w:val="clear" w:color="auto" w:fill="auto"/>
            <w:noWrap/>
            <w:tcMar>
              <w:left w:w="72" w:type="dxa"/>
              <w:right w:w="72" w:type="dxa"/>
            </w:tcMar>
            <w:vAlign w:val="bottom"/>
            <w:hideMark/>
          </w:tcPr>
          <w:p w14:paraId="1BF82E2A"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0.26</w:t>
            </w:r>
          </w:p>
        </w:tc>
        <w:tc>
          <w:tcPr>
            <w:tcW w:w="0" w:type="auto"/>
            <w:tcBorders>
              <w:top w:val="nil"/>
              <w:left w:val="nil"/>
              <w:bottom w:val="nil"/>
              <w:right w:val="nil"/>
            </w:tcBorders>
            <w:shd w:val="clear" w:color="auto" w:fill="auto"/>
            <w:noWrap/>
            <w:tcMar>
              <w:left w:w="72" w:type="dxa"/>
              <w:right w:w="72" w:type="dxa"/>
            </w:tcMar>
            <w:vAlign w:val="bottom"/>
            <w:hideMark/>
          </w:tcPr>
          <w:p w14:paraId="1B0FB808"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0.11</w:t>
            </w:r>
          </w:p>
        </w:tc>
        <w:tc>
          <w:tcPr>
            <w:tcW w:w="0" w:type="auto"/>
            <w:tcBorders>
              <w:top w:val="nil"/>
              <w:left w:val="nil"/>
              <w:bottom w:val="nil"/>
              <w:right w:val="nil"/>
            </w:tcBorders>
            <w:vAlign w:val="bottom"/>
          </w:tcPr>
          <w:p w14:paraId="4513DC47"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shd w:val="clear" w:color="auto" w:fill="auto"/>
            <w:noWrap/>
            <w:tcMar>
              <w:left w:w="72" w:type="dxa"/>
              <w:right w:w="72" w:type="dxa"/>
            </w:tcMar>
            <w:vAlign w:val="bottom"/>
            <w:hideMark/>
          </w:tcPr>
          <w:p w14:paraId="25F673AD"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7AC06C31"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4303846B"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78FBD702"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70745545"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39F8277C"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2FEBA039"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7224E469" w14:textId="77777777" w:rsidR="0089544F" w:rsidRPr="00263C50" w:rsidRDefault="0089544F" w:rsidP="00186583">
            <w:pP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0C5B796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(0.14)</w:t>
            </w:r>
          </w:p>
        </w:tc>
        <w:tc>
          <w:tcPr>
            <w:tcW w:w="0" w:type="auto"/>
            <w:tcBorders>
              <w:top w:val="nil"/>
              <w:left w:val="nil"/>
              <w:bottom w:val="nil"/>
              <w:right w:val="nil"/>
            </w:tcBorders>
            <w:vAlign w:val="bottom"/>
          </w:tcPr>
          <w:p w14:paraId="2C4DED4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44950D8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(0.06)</w:t>
            </w:r>
          </w:p>
        </w:tc>
        <w:tc>
          <w:tcPr>
            <w:tcW w:w="0" w:type="auto"/>
            <w:tcBorders>
              <w:top w:val="nil"/>
              <w:left w:val="nil"/>
              <w:bottom w:val="nil"/>
              <w:right w:val="nil"/>
            </w:tcBorders>
            <w:shd w:val="clear" w:color="auto" w:fill="auto"/>
            <w:noWrap/>
            <w:tcMar>
              <w:left w:w="72" w:type="dxa"/>
              <w:right w:w="72" w:type="dxa"/>
            </w:tcMar>
            <w:vAlign w:val="bottom"/>
            <w:hideMark/>
          </w:tcPr>
          <w:p w14:paraId="2535694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(0.12)</w:t>
            </w:r>
          </w:p>
        </w:tc>
        <w:tc>
          <w:tcPr>
            <w:tcW w:w="0" w:type="auto"/>
            <w:tcBorders>
              <w:top w:val="nil"/>
              <w:left w:val="nil"/>
              <w:bottom w:val="nil"/>
              <w:right w:val="nil"/>
            </w:tcBorders>
            <w:shd w:val="clear" w:color="auto" w:fill="auto"/>
            <w:noWrap/>
            <w:tcMar>
              <w:left w:w="72" w:type="dxa"/>
              <w:right w:w="72" w:type="dxa"/>
            </w:tcMar>
            <w:vAlign w:val="bottom"/>
            <w:hideMark/>
          </w:tcPr>
          <w:p w14:paraId="0D14DC8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(0.10)</w:t>
            </w:r>
          </w:p>
        </w:tc>
        <w:tc>
          <w:tcPr>
            <w:tcW w:w="0" w:type="auto"/>
            <w:tcBorders>
              <w:top w:val="nil"/>
              <w:left w:val="nil"/>
              <w:bottom w:val="nil"/>
              <w:right w:val="nil"/>
            </w:tcBorders>
            <w:shd w:val="clear" w:color="auto" w:fill="auto"/>
            <w:noWrap/>
            <w:tcMar>
              <w:left w:w="72" w:type="dxa"/>
              <w:right w:w="72" w:type="dxa"/>
            </w:tcMar>
            <w:vAlign w:val="bottom"/>
            <w:hideMark/>
          </w:tcPr>
          <w:p w14:paraId="745DEE8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(0.43)</w:t>
            </w:r>
          </w:p>
        </w:tc>
        <w:tc>
          <w:tcPr>
            <w:tcW w:w="0" w:type="auto"/>
            <w:tcBorders>
              <w:top w:val="nil"/>
              <w:left w:val="nil"/>
              <w:bottom w:val="nil"/>
              <w:right w:val="nil"/>
            </w:tcBorders>
            <w:shd w:val="clear" w:color="auto" w:fill="auto"/>
            <w:noWrap/>
            <w:tcMar>
              <w:left w:w="72" w:type="dxa"/>
              <w:right w:w="72" w:type="dxa"/>
            </w:tcMar>
            <w:vAlign w:val="bottom"/>
            <w:hideMark/>
          </w:tcPr>
          <w:p w14:paraId="5295958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(0.51)</w:t>
            </w:r>
          </w:p>
        </w:tc>
        <w:tc>
          <w:tcPr>
            <w:tcW w:w="0" w:type="auto"/>
            <w:tcBorders>
              <w:top w:val="nil"/>
              <w:left w:val="nil"/>
              <w:bottom w:val="nil"/>
              <w:right w:val="nil"/>
            </w:tcBorders>
            <w:shd w:val="clear" w:color="auto" w:fill="auto"/>
            <w:noWrap/>
            <w:tcMar>
              <w:left w:w="72" w:type="dxa"/>
              <w:right w:w="72" w:type="dxa"/>
            </w:tcMar>
            <w:vAlign w:val="bottom"/>
            <w:hideMark/>
          </w:tcPr>
          <w:p w14:paraId="4F9725A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(0.99)</w:t>
            </w:r>
          </w:p>
        </w:tc>
        <w:tc>
          <w:tcPr>
            <w:tcW w:w="0" w:type="auto"/>
            <w:tcBorders>
              <w:top w:val="nil"/>
              <w:left w:val="nil"/>
              <w:bottom w:val="nil"/>
              <w:right w:val="nil"/>
            </w:tcBorders>
            <w:shd w:val="clear" w:color="auto" w:fill="auto"/>
            <w:noWrap/>
            <w:tcMar>
              <w:left w:w="72" w:type="dxa"/>
              <w:right w:w="72" w:type="dxa"/>
            </w:tcMar>
            <w:vAlign w:val="bottom"/>
            <w:hideMark/>
          </w:tcPr>
          <w:p w14:paraId="748C52EE"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(0.80)</w:t>
            </w:r>
          </w:p>
        </w:tc>
        <w:tc>
          <w:tcPr>
            <w:tcW w:w="0" w:type="auto"/>
            <w:tcBorders>
              <w:top w:val="nil"/>
              <w:left w:val="nil"/>
              <w:bottom w:val="nil"/>
              <w:right w:val="nil"/>
            </w:tcBorders>
            <w:shd w:val="clear" w:color="auto" w:fill="auto"/>
            <w:noWrap/>
            <w:tcMar>
              <w:left w:w="72" w:type="dxa"/>
              <w:right w:w="72" w:type="dxa"/>
            </w:tcMar>
            <w:vAlign w:val="bottom"/>
            <w:hideMark/>
          </w:tcPr>
          <w:p w14:paraId="46565771"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796561F0"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(0.21)</w:t>
            </w:r>
          </w:p>
        </w:tc>
        <w:tc>
          <w:tcPr>
            <w:tcW w:w="0" w:type="auto"/>
            <w:tcBorders>
              <w:top w:val="nil"/>
              <w:left w:val="nil"/>
              <w:bottom w:val="nil"/>
              <w:right w:val="nil"/>
            </w:tcBorders>
            <w:vAlign w:val="bottom"/>
          </w:tcPr>
          <w:p w14:paraId="416B36DD"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49248DBB"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1A5E29C9"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975B83F"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42A1384"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7D3B857E"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6F7D2B1B"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3E11BA9C"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7D6E7675" w14:textId="77777777" w:rsidR="0089544F" w:rsidRPr="00263C50" w:rsidRDefault="0089544F" w:rsidP="00186583">
            <w:pPr>
              <w:rPr>
                <w:rFonts w:ascii="Times New Roman" w:hAnsi="Times New Roman" w:cs="Times New Roman"/>
                <w:color w:val="000000"/>
                <w:sz w:val="14"/>
                <w:szCs w:val="14"/>
                <w:lang w:val="en-US"/>
              </w:rPr>
            </w:pPr>
            <w:proofErr w:type="spellStart"/>
            <w:r w:rsidRPr="00263C50">
              <w:rPr>
                <w:rFonts w:ascii="Times New Roman" w:hAnsi="Times New Roman" w:cs="Times New Roman"/>
                <w:color w:val="000000"/>
                <w:sz w:val="14"/>
                <w:szCs w:val="14"/>
              </w:rPr>
              <w:t>SoftwareFile</w:t>
            </w:r>
            <w:proofErr w:type="spellEnd"/>
          </w:p>
        </w:tc>
        <w:tc>
          <w:tcPr>
            <w:tcW w:w="0" w:type="auto"/>
            <w:tcBorders>
              <w:top w:val="nil"/>
              <w:left w:val="nil"/>
              <w:bottom w:val="nil"/>
              <w:right w:val="nil"/>
            </w:tcBorders>
            <w:vAlign w:val="bottom"/>
          </w:tcPr>
          <w:p w14:paraId="11C358D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0.24</w:t>
            </w:r>
          </w:p>
        </w:tc>
        <w:tc>
          <w:tcPr>
            <w:tcW w:w="0" w:type="auto"/>
            <w:tcBorders>
              <w:top w:val="nil"/>
              <w:left w:val="nil"/>
              <w:bottom w:val="nil"/>
              <w:right w:val="nil"/>
            </w:tcBorders>
            <w:vAlign w:val="bottom"/>
          </w:tcPr>
          <w:p w14:paraId="0E34378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0.37</w:t>
            </w:r>
          </w:p>
        </w:tc>
        <w:tc>
          <w:tcPr>
            <w:tcW w:w="0" w:type="auto"/>
            <w:tcBorders>
              <w:top w:val="nil"/>
              <w:left w:val="nil"/>
              <w:bottom w:val="nil"/>
              <w:right w:val="nil"/>
            </w:tcBorders>
            <w:shd w:val="clear" w:color="auto" w:fill="auto"/>
            <w:noWrap/>
            <w:tcMar>
              <w:left w:w="72" w:type="dxa"/>
              <w:right w:w="72" w:type="dxa"/>
            </w:tcMar>
            <w:vAlign w:val="bottom"/>
            <w:hideMark/>
          </w:tcPr>
          <w:p w14:paraId="04420BF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0.12</w:t>
            </w:r>
          </w:p>
        </w:tc>
        <w:tc>
          <w:tcPr>
            <w:tcW w:w="0" w:type="auto"/>
            <w:tcBorders>
              <w:top w:val="nil"/>
              <w:left w:val="nil"/>
              <w:bottom w:val="nil"/>
              <w:right w:val="nil"/>
            </w:tcBorders>
            <w:shd w:val="clear" w:color="auto" w:fill="auto"/>
            <w:noWrap/>
            <w:tcMar>
              <w:left w:w="72" w:type="dxa"/>
              <w:right w:w="72" w:type="dxa"/>
            </w:tcMar>
            <w:vAlign w:val="bottom"/>
            <w:hideMark/>
          </w:tcPr>
          <w:p w14:paraId="74D1836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0.32</w:t>
            </w:r>
          </w:p>
        </w:tc>
        <w:tc>
          <w:tcPr>
            <w:tcW w:w="0" w:type="auto"/>
            <w:tcBorders>
              <w:top w:val="nil"/>
              <w:left w:val="nil"/>
              <w:bottom w:val="nil"/>
              <w:right w:val="nil"/>
            </w:tcBorders>
            <w:shd w:val="clear" w:color="auto" w:fill="auto"/>
            <w:noWrap/>
            <w:tcMar>
              <w:left w:w="72" w:type="dxa"/>
              <w:right w:w="72" w:type="dxa"/>
            </w:tcMar>
            <w:vAlign w:val="bottom"/>
            <w:hideMark/>
          </w:tcPr>
          <w:p w14:paraId="24AAF89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-0.15</w:t>
            </w:r>
          </w:p>
        </w:tc>
        <w:tc>
          <w:tcPr>
            <w:tcW w:w="0" w:type="auto"/>
            <w:tcBorders>
              <w:top w:val="nil"/>
              <w:left w:val="nil"/>
              <w:bottom w:val="nil"/>
              <w:right w:val="nil"/>
            </w:tcBorders>
            <w:shd w:val="clear" w:color="auto" w:fill="auto"/>
            <w:noWrap/>
            <w:tcMar>
              <w:left w:w="72" w:type="dxa"/>
              <w:right w:w="72" w:type="dxa"/>
            </w:tcMar>
            <w:vAlign w:val="bottom"/>
            <w:hideMark/>
          </w:tcPr>
          <w:p w14:paraId="4E104B9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0.12</w:t>
            </w:r>
          </w:p>
        </w:tc>
        <w:tc>
          <w:tcPr>
            <w:tcW w:w="0" w:type="auto"/>
            <w:tcBorders>
              <w:top w:val="nil"/>
              <w:left w:val="nil"/>
              <w:bottom w:val="nil"/>
              <w:right w:val="nil"/>
            </w:tcBorders>
            <w:shd w:val="clear" w:color="auto" w:fill="auto"/>
            <w:noWrap/>
            <w:tcMar>
              <w:left w:w="72" w:type="dxa"/>
              <w:right w:w="72" w:type="dxa"/>
            </w:tcMar>
            <w:vAlign w:val="bottom"/>
            <w:hideMark/>
          </w:tcPr>
          <w:p w14:paraId="6231C92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-0.05</w:t>
            </w:r>
          </w:p>
        </w:tc>
        <w:tc>
          <w:tcPr>
            <w:tcW w:w="0" w:type="auto"/>
            <w:tcBorders>
              <w:top w:val="nil"/>
              <w:left w:val="nil"/>
              <w:bottom w:val="nil"/>
              <w:right w:val="nil"/>
            </w:tcBorders>
            <w:shd w:val="clear" w:color="auto" w:fill="auto"/>
            <w:noWrap/>
            <w:tcMar>
              <w:left w:w="72" w:type="dxa"/>
              <w:right w:w="72" w:type="dxa"/>
            </w:tcMar>
            <w:vAlign w:val="bottom"/>
            <w:hideMark/>
          </w:tcPr>
          <w:p w14:paraId="2AFEFEC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0.13</w:t>
            </w:r>
          </w:p>
        </w:tc>
        <w:tc>
          <w:tcPr>
            <w:tcW w:w="0" w:type="auto"/>
            <w:tcBorders>
              <w:top w:val="nil"/>
              <w:left w:val="nil"/>
              <w:bottom w:val="nil"/>
              <w:right w:val="nil"/>
            </w:tcBorders>
            <w:shd w:val="clear" w:color="auto" w:fill="auto"/>
            <w:noWrap/>
            <w:tcMar>
              <w:left w:w="72" w:type="dxa"/>
              <w:right w:w="72" w:type="dxa"/>
            </w:tcMar>
            <w:vAlign w:val="bottom"/>
            <w:hideMark/>
          </w:tcPr>
          <w:p w14:paraId="13815D8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-0.05</w:t>
            </w:r>
          </w:p>
        </w:tc>
        <w:tc>
          <w:tcPr>
            <w:tcW w:w="0" w:type="auto"/>
            <w:tcBorders>
              <w:top w:val="nil"/>
              <w:left w:val="nil"/>
              <w:bottom w:val="nil"/>
              <w:right w:val="nil"/>
            </w:tcBorders>
            <w:shd w:val="clear" w:color="auto" w:fill="auto"/>
            <w:noWrap/>
            <w:tcMar>
              <w:left w:w="72" w:type="dxa"/>
              <w:right w:w="72" w:type="dxa"/>
            </w:tcMar>
            <w:vAlign w:val="bottom"/>
            <w:hideMark/>
          </w:tcPr>
          <w:p w14:paraId="64ECFAB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0.28</w:t>
            </w:r>
          </w:p>
        </w:tc>
        <w:tc>
          <w:tcPr>
            <w:tcW w:w="0" w:type="auto"/>
            <w:tcBorders>
              <w:top w:val="nil"/>
              <w:left w:val="nil"/>
              <w:bottom w:val="nil"/>
              <w:right w:val="nil"/>
            </w:tcBorders>
            <w:shd w:val="clear" w:color="auto" w:fill="auto"/>
            <w:noWrap/>
            <w:tcMar>
              <w:left w:w="72" w:type="dxa"/>
              <w:right w:w="72" w:type="dxa"/>
            </w:tcMar>
            <w:vAlign w:val="bottom"/>
            <w:hideMark/>
          </w:tcPr>
          <w:p w14:paraId="725A80E3"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0.09</w:t>
            </w:r>
          </w:p>
        </w:tc>
        <w:tc>
          <w:tcPr>
            <w:tcW w:w="0" w:type="auto"/>
            <w:tcBorders>
              <w:top w:val="nil"/>
              <w:left w:val="nil"/>
              <w:bottom w:val="nil"/>
              <w:right w:val="nil"/>
            </w:tcBorders>
            <w:vAlign w:val="bottom"/>
          </w:tcPr>
          <w:p w14:paraId="150F78D5"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0.23</w:t>
            </w:r>
          </w:p>
        </w:tc>
        <w:tc>
          <w:tcPr>
            <w:tcW w:w="0" w:type="auto"/>
            <w:tcBorders>
              <w:top w:val="nil"/>
              <w:left w:val="nil"/>
              <w:bottom w:val="nil"/>
              <w:right w:val="nil"/>
            </w:tcBorders>
            <w:shd w:val="clear" w:color="auto" w:fill="auto"/>
            <w:noWrap/>
            <w:tcMar>
              <w:left w:w="72" w:type="dxa"/>
              <w:right w:w="72" w:type="dxa"/>
            </w:tcMar>
            <w:vAlign w:val="bottom"/>
            <w:hideMark/>
          </w:tcPr>
          <w:p w14:paraId="0D9B3A4E"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shd w:val="clear" w:color="auto" w:fill="auto"/>
            <w:noWrap/>
            <w:tcMar>
              <w:left w:w="72" w:type="dxa"/>
              <w:right w:w="72" w:type="dxa"/>
            </w:tcMar>
            <w:vAlign w:val="bottom"/>
            <w:hideMark/>
          </w:tcPr>
          <w:p w14:paraId="17187B49"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213E54CC"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6F47CF34"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30E4E777"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8909785"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5D14CCC5"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4930BEB9" w14:textId="77777777" w:rsidR="0089544F" w:rsidRPr="00263C50" w:rsidRDefault="0089544F" w:rsidP="00186583">
            <w:pP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6E11A70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vAlign w:val="bottom"/>
          </w:tcPr>
          <w:p w14:paraId="3642BAD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3906ECE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(0.14)</w:t>
            </w:r>
          </w:p>
        </w:tc>
        <w:tc>
          <w:tcPr>
            <w:tcW w:w="0" w:type="auto"/>
            <w:tcBorders>
              <w:top w:val="nil"/>
              <w:left w:val="nil"/>
              <w:bottom w:val="nil"/>
              <w:right w:val="nil"/>
            </w:tcBorders>
            <w:shd w:val="clear" w:color="auto" w:fill="auto"/>
            <w:noWrap/>
            <w:tcMar>
              <w:left w:w="72" w:type="dxa"/>
              <w:right w:w="72" w:type="dxa"/>
            </w:tcMar>
            <w:vAlign w:val="bottom"/>
            <w:hideMark/>
          </w:tcPr>
          <w:p w14:paraId="59BC0E9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1E89D16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(0.07)</w:t>
            </w:r>
          </w:p>
        </w:tc>
        <w:tc>
          <w:tcPr>
            <w:tcW w:w="0" w:type="auto"/>
            <w:tcBorders>
              <w:top w:val="nil"/>
              <w:left w:val="nil"/>
              <w:bottom w:val="nil"/>
              <w:right w:val="nil"/>
            </w:tcBorders>
            <w:shd w:val="clear" w:color="auto" w:fill="auto"/>
            <w:noWrap/>
            <w:tcMar>
              <w:left w:w="72" w:type="dxa"/>
              <w:right w:w="72" w:type="dxa"/>
            </w:tcMar>
            <w:vAlign w:val="bottom"/>
            <w:hideMark/>
          </w:tcPr>
          <w:p w14:paraId="2832A4D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(0.13)</w:t>
            </w:r>
          </w:p>
        </w:tc>
        <w:tc>
          <w:tcPr>
            <w:tcW w:w="0" w:type="auto"/>
            <w:tcBorders>
              <w:top w:val="nil"/>
              <w:left w:val="nil"/>
              <w:bottom w:val="nil"/>
              <w:right w:val="nil"/>
            </w:tcBorders>
            <w:shd w:val="clear" w:color="auto" w:fill="auto"/>
            <w:noWrap/>
            <w:tcMar>
              <w:left w:w="72" w:type="dxa"/>
              <w:right w:w="72" w:type="dxa"/>
            </w:tcMar>
            <w:vAlign w:val="bottom"/>
            <w:hideMark/>
          </w:tcPr>
          <w:p w14:paraId="39E9EEA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(0.56)</w:t>
            </w:r>
          </w:p>
        </w:tc>
        <w:tc>
          <w:tcPr>
            <w:tcW w:w="0" w:type="auto"/>
            <w:tcBorders>
              <w:top w:val="nil"/>
              <w:left w:val="nil"/>
              <w:bottom w:val="nil"/>
              <w:right w:val="nil"/>
            </w:tcBorders>
            <w:shd w:val="clear" w:color="auto" w:fill="auto"/>
            <w:noWrap/>
            <w:tcMar>
              <w:left w:w="72" w:type="dxa"/>
              <w:right w:w="72" w:type="dxa"/>
            </w:tcMar>
            <w:vAlign w:val="bottom"/>
            <w:hideMark/>
          </w:tcPr>
          <w:p w14:paraId="5E7602E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(0.11)</w:t>
            </w:r>
          </w:p>
        </w:tc>
        <w:tc>
          <w:tcPr>
            <w:tcW w:w="0" w:type="auto"/>
            <w:tcBorders>
              <w:top w:val="nil"/>
              <w:left w:val="nil"/>
              <w:bottom w:val="nil"/>
              <w:right w:val="nil"/>
            </w:tcBorders>
            <w:shd w:val="clear" w:color="auto" w:fill="auto"/>
            <w:noWrap/>
            <w:tcMar>
              <w:left w:w="72" w:type="dxa"/>
              <w:right w:w="72" w:type="dxa"/>
            </w:tcMar>
            <w:vAlign w:val="bottom"/>
            <w:hideMark/>
          </w:tcPr>
          <w:p w14:paraId="705AC15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(0.56)</w:t>
            </w:r>
          </w:p>
        </w:tc>
        <w:tc>
          <w:tcPr>
            <w:tcW w:w="0" w:type="auto"/>
            <w:tcBorders>
              <w:top w:val="nil"/>
              <w:left w:val="nil"/>
              <w:bottom w:val="nil"/>
              <w:right w:val="nil"/>
            </w:tcBorders>
            <w:shd w:val="clear" w:color="auto" w:fill="auto"/>
            <w:noWrap/>
            <w:tcMar>
              <w:left w:w="72" w:type="dxa"/>
              <w:right w:w="72" w:type="dxa"/>
            </w:tcMar>
            <w:vAlign w:val="bottom"/>
            <w:hideMark/>
          </w:tcPr>
          <w:p w14:paraId="64B7395C"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64205EDA"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(0.27)</w:t>
            </w:r>
          </w:p>
        </w:tc>
        <w:tc>
          <w:tcPr>
            <w:tcW w:w="0" w:type="auto"/>
            <w:tcBorders>
              <w:top w:val="nil"/>
              <w:left w:val="nil"/>
              <w:bottom w:val="nil"/>
              <w:right w:val="nil"/>
            </w:tcBorders>
            <w:vAlign w:val="bottom"/>
          </w:tcPr>
          <w:p w14:paraId="48E3C8A1"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(0.01)</w:t>
            </w:r>
          </w:p>
        </w:tc>
        <w:tc>
          <w:tcPr>
            <w:tcW w:w="0" w:type="auto"/>
            <w:tcBorders>
              <w:top w:val="nil"/>
              <w:left w:val="nil"/>
              <w:bottom w:val="nil"/>
              <w:right w:val="nil"/>
            </w:tcBorders>
            <w:shd w:val="clear" w:color="auto" w:fill="auto"/>
            <w:noWrap/>
            <w:tcMar>
              <w:left w:w="72" w:type="dxa"/>
              <w:right w:w="72" w:type="dxa"/>
            </w:tcMar>
            <w:vAlign w:val="bottom"/>
            <w:hideMark/>
          </w:tcPr>
          <w:p w14:paraId="6594B6DB"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1537DEC1"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1B695ADF"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33CFDECD"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48A32461"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35B78923"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647E3FC7"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02007F3B" w14:textId="77777777" w:rsidR="0089544F" w:rsidRPr="00263C50" w:rsidRDefault="0089544F" w:rsidP="00186583">
            <w:pPr>
              <w:rPr>
                <w:rFonts w:ascii="Times New Roman" w:hAnsi="Times New Roman" w:cs="Times New Roman"/>
                <w:color w:val="000000"/>
                <w:sz w:val="14"/>
                <w:szCs w:val="14"/>
                <w:lang w:val="en-US"/>
              </w:rPr>
            </w:pPr>
            <w:proofErr w:type="spellStart"/>
            <w:r w:rsidRPr="00263C50">
              <w:rPr>
                <w:rFonts w:ascii="Times New Roman" w:hAnsi="Times New Roman" w:cs="Times New Roman"/>
                <w:color w:val="000000"/>
                <w:sz w:val="14"/>
                <w:szCs w:val="14"/>
              </w:rPr>
              <w:t>ProfFile</w:t>
            </w:r>
            <w:proofErr w:type="spellEnd"/>
          </w:p>
        </w:tc>
        <w:tc>
          <w:tcPr>
            <w:tcW w:w="0" w:type="auto"/>
            <w:tcBorders>
              <w:top w:val="nil"/>
              <w:left w:val="nil"/>
              <w:bottom w:val="nil"/>
              <w:right w:val="nil"/>
            </w:tcBorders>
            <w:vAlign w:val="bottom"/>
          </w:tcPr>
          <w:p w14:paraId="681DAFD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0.13</w:t>
            </w:r>
          </w:p>
        </w:tc>
        <w:tc>
          <w:tcPr>
            <w:tcW w:w="0" w:type="auto"/>
            <w:tcBorders>
              <w:top w:val="nil"/>
              <w:left w:val="nil"/>
              <w:bottom w:val="nil"/>
              <w:right w:val="nil"/>
            </w:tcBorders>
            <w:vAlign w:val="bottom"/>
          </w:tcPr>
          <w:p w14:paraId="55F051F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0.18</w:t>
            </w:r>
          </w:p>
        </w:tc>
        <w:tc>
          <w:tcPr>
            <w:tcW w:w="0" w:type="auto"/>
            <w:tcBorders>
              <w:top w:val="nil"/>
              <w:left w:val="nil"/>
              <w:bottom w:val="nil"/>
              <w:right w:val="nil"/>
            </w:tcBorders>
            <w:shd w:val="clear" w:color="auto" w:fill="auto"/>
            <w:noWrap/>
            <w:tcMar>
              <w:left w:w="72" w:type="dxa"/>
              <w:right w:w="72" w:type="dxa"/>
            </w:tcMar>
            <w:vAlign w:val="bottom"/>
            <w:hideMark/>
          </w:tcPr>
          <w:p w14:paraId="7F84F5F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0.10</w:t>
            </w:r>
          </w:p>
        </w:tc>
        <w:tc>
          <w:tcPr>
            <w:tcW w:w="0" w:type="auto"/>
            <w:tcBorders>
              <w:top w:val="nil"/>
              <w:left w:val="nil"/>
              <w:bottom w:val="nil"/>
              <w:right w:val="nil"/>
            </w:tcBorders>
            <w:shd w:val="clear" w:color="auto" w:fill="auto"/>
            <w:noWrap/>
            <w:tcMar>
              <w:left w:w="72" w:type="dxa"/>
              <w:right w:w="72" w:type="dxa"/>
            </w:tcMar>
            <w:vAlign w:val="bottom"/>
            <w:hideMark/>
          </w:tcPr>
          <w:p w14:paraId="2ADD46B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0.11</w:t>
            </w:r>
          </w:p>
        </w:tc>
        <w:tc>
          <w:tcPr>
            <w:tcW w:w="0" w:type="auto"/>
            <w:tcBorders>
              <w:top w:val="nil"/>
              <w:left w:val="nil"/>
              <w:bottom w:val="nil"/>
              <w:right w:val="nil"/>
            </w:tcBorders>
            <w:shd w:val="clear" w:color="auto" w:fill="auto"/>
            <w:noWrap/>
            <w:tcMar>
              <w:left w:w="72" w:type="dxa"/>
              <w:right w:w="72" w:type="dxa"/>
            </w:tcMar>
            <w:vAlign w:val="bottom"/>
            <w:hideMark/>
          </w:tcPr>
          <w:p w14:paraId="05EEE50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-0.21</w:t>
            </w:r>
          </w:p>
        </w:tc>
        <w:tc>
          <w:tcPr>
            <w:tcW w:w="0" w:type="auto"/>
            <w:tcBorders>
              <w:top w:val="nil"/>
              <w:left w:val="nil"/>
              <w:bottom w:val="nil"/>
              <w:right w:val="nil"/>
            </w:tcBorders>
            <w:shd w:val="clear" w:color="auto" w:fill="auto"/>
            <w:noWrap/>
            <w:tcMar>
              <w:left w:w="72" w:type="dxa"/>
              <w:right w:w="72" w:type="dxa"/>
            </w:tcMar>
            <w:vAlign w:val="bottom"/>
            <w:hideMark/>
          </w:tcPr>
          <w:p w14:paraId="38D4EB6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5B57883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0.03</w:t>
            </w:r>
          </w:p>
        </w:tc>
        <w:tc>
          <w:tcPr>
            <w:tcW w:w="0" w:type="auto"/>
            <w:tcBorders>
              <w:top w:val="nil"/>
              <w:left w:val="nil"/>
              <w:bottom w:val="nil"/>
              <w:right w:val="nil"/>
            </w:tcBorders>
            <w:shd w:val="clear" w:color="auto" w:fill="auto"/>
            <w:noWrap/>
            <w:tcMar>
              <w:left w:w="72" w:type="dxa"/>
              <w:right w:w="72" w:type="dxa"/>
            </w:tcMar>
            <w:vAlign w:val="bottom"/>
            <w:hideMark/>
          </w:tcPr>
          <w:p w14:paraId="4810750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0.04</w:t>
            </w:r>
          </w:p>
        </w:tc>
        <w:tc>
          <w:tcPr>
            <w:tcW w:w="0" w:type="auto"/>
            <w:tcBorders>
              <w:top w:val="nil"/>
              <w:left w:val="nil"/>
              <w:bottom w:val="nil"/>
              <w:right w:val="nil"/>
            </w:tcBorders>
            <w:shd w:val="clear" w:color="auto" w:fill="auto"/>
            <w:noWrap/>
            <w:tcMar>
              <w:left w:w="72" w:type="dxa"/>
              <w:right w:w="72" w:type="dxa"/>
            </w:tcMar>
            <w:vAlign w:val="bottom"/>
            <w:hideMark/>
          </w:tcPr>
          <w:p w14:paraId="3A65597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0.05</w:t>
            </w:r>
          </w:p>
        </w:tc>
        <w:tc>
          <w:tcPr>
            <w:tcW w:w="0" w:type="auto"/>
            <w:tcBorders>
              <w:top w:val="nil"/>
              <w:left w:val="nil"/>
              <w:bottom w:val="nil"/>
              <w:right w:val="nil"/>
            </w:tcBorders>
            <w:shd w:val="clear" w:color="auto" w:fill="auto"/>
            <w:noWrap/>
            <w:tcMar>
              <w:left w:w="72" w:type="dxa"/>
              <w:right w:w="72" w:type="dxa"/>
            </w:tcMar>
            <w:vAlign w:val="bottom"/>
            <w:hideMark/>
          </w:tcPr>
          <w:p w14:paraId="5D26FE1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0.24</w:t>
            </w:r>
          </w:p>
        </w:tc>
        <w:tc>
          <w:tcPr>
            <w:tcW w:w="0" w:type="auto"/>
            <w:tcBorders>
              <w:top w:val="nil"/>
              <w:left w:val="nil"/>
              <w:bottom w:val="nil"/>
              <w:right w:val="nil"/>
            </w:tcBorders>
            <w:shd w:val="clear" w:color="auto" w:fill="auto"/>
            <w:noWrap/>
            <w:tcMar>
              <w:left w:w="72" w:type="dxa"/>
              <w:right w:w="72" w:type="dxa"/>
            </w:tcMar>
            <w:vAlign w:val="bottom"/>
            <w:hideMark/>
          </w:tcPr>
          <w:p w14:paraId="3BEF28A7"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0.13</w:t>
            </w:r>
          </w:p>
        </w:tc>
        <w:tc>
          <w:tcPr>
            <w:tcW w:w="0" w:type="auto"/>
            <w:tcBorders>
              <w:top w:val="nil"/>
              <w:left w:val="nil"/>
              <w:bottom w:val="nil"/>
              <w:right w:val="nil"/>
            </w:tcBorders>
            <w:vAlign w:val="bottom"/>
          </w:tcPr>
          <w:p w14:paraId="60F75626"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0.08</w:t>
            </w:r>
          </w:p>
        </w:tc>
        <w:tc>
          <w:tcPr>
            <w:tcW w:w="0" w:type="auto"/>
            <w:tcBorders>
              <w:top w:val="nil"/>
              <w:left w:val="nil"/>
              <w:bottom w:val="nil"/>
              <w:right w:val="nil"/>
            </w:tcBorders>
            <w:shd w:val="clear" w:color="auto" w:fill="auto"/>
            <w:noWrap/>
            <w:tcMar>
              <w:left w:w="72" w:type="dxa"/>
              <w:right w:w="72" w:type="dxa"/>
            </w:tcMar>
            <w:vAlign w:val="bottom"/>
            <w:hideMark/>
          </w:tcPr>
          <w:p w14:paraId="0BB0D496"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0.16</w:t>
            </w:r>
          </w:p>
        </w:tc>
        <w:tc>
          <w:tcPr>
            <w:tcW w:w="0" w:type="auto"/>
            <w:tcBorders>
              <w:top w:val="nil"/>
              <w:left w:val="nil"/>
              <w:bottom w:val="nil"/>
              <w:right w:val="nil"/>
            </w:tcBorders>
            <w:shd w:val="clear" w:color="auto" w:fill="auto"/>
            <w:noWrap/>
            <w:tcMar>
              <w:left w:w="72" w:type="dxa"/>
              <w:right w:w="72" w:type="dxa"/>
            </w:tcMar>
            <w:vAlign w:val="bottom"/>
            <w:hideMark/>
          </w:tcPr>
          <w:p w14:paraId="19D83DBC"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shd w:val="clear" w:color="auto" w:fill="auto"/>
            <w:noWrap/>
            <w:tcMar>
              <w:left w:w="72" w:type="dxa"/>
              <w:right w:w="72" w:type="dxa"/>
            </w:tcMar>
            <w:vAlign w:val="bottom"/>
            <w:hideMark/>
          </w:tcPr>
          <w:p w14:paraId="17C51477"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7EAED16C"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13A52548"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4193F72D"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3668039F"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5A61AB9A" w14:textId="77777777" w:rsidR="0089544F" w:rsidRPr="00263C50" w:rsidRDefault="0089544F" w:rsidP="00186583">
            <w:pP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70012BE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(0.13)</w:t>
            </w:r>
          </w:p>
        </w:tc>
        <w:tc>
          <w:tcPr>
            <w:tcW w:w="0" w:type="auto"/>
            <w:tcBorders>
              <w:top w:val="nil"/>
              <w:left w:val="nil"/>
              <w:bottom w:val="nil"/>
              <w:right w:val="nil"/>
            </w:tcBorders>
            <w:vAlign w:val="bottom"/>
          </w:tcPr>
          <w:p w14:paraId="77FD370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(0.03)</w:t>
            </w:r>
          </w:p>
        </w:tc>
        <w:tc>
          <w:tcPr>
            <w:tcW w:w="0" w:type="auto"/>
            <w:tcBorders>
              <w:top w:val="nil"/>
              <w:left w:val="nil"/>
              <w:bottom w:val="nil"/>
              <w:right w:val="nil"/>
            </w:tcBorders>
            <w:shd w:val="clear" w:color="auto" w:fill="auto"/>
            <w:noWrap/>
            <w:tcMar>
              <w:left w:w="72" w:type="dxa"/>
              <w:right w:w="72" w:type="dxa"/>
            </w:tcMar>
            <w:vAlign w:val="bottom"/>
            <w:hideMark/>
          </w:tcPr>
          <w:p w14:paraId="4834A46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(0.23)</w:t>
            </w:r>
          </w:p>
        </w:tc>
        <w:tc>
          <w:tcPr>
            <w:tcW w:w="0" w:type="auto"/>
            <w:tcBorders>
              <w:top w:val="nil"/>
              <w:left w:val="nil"/>
              <w:bottom w:val="nil"/>
              <w:right w:val="nil"/>
            </w:tcBorders>
            <w:shd w:val="clear" w:color="auto" w:fill="auto"/>
            <w:noWrap/>
            <w:tcMar>
              <w:left w:w="72" w:type="dxa"/>
              <w:right w:w="72" w:type="dxa"/>
            </w:tcMar>
            <w:vAlign w:val="bottom"/>
            <w:hideMark/>
          </w:tcPr>
          <w:p w14:paraId="2693679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(0.19)</w:t>
            </w:r>
          </w:p>
        </w:tc>
        <w:tc>
          <w:tcPr>
            <w:tcW w:w="0" w:type="auto"/>
            <w:tcBorders>
              <w:top w:val="nil"/>
              <w:left w:val="nil"/>
              <w:bottom w:val="nil"/>
              <w:right w:val="nil"/>
            </w:tcBorders>
            <w:shd w:val="clear" w:color="auto" w:fill="auto"/>
            <w:noWrap/>
            <w:tcMar>
              <w:left w:w="72" w:type="dxa"/>
              <w:right w:w="72" w:type="dxa"/>
            </w:tcMar>
            <w:vAlign w:val="bottom"/>
            <w:hideMark/>
          </w:tcPr>
          <w:p w14:paraId="7FFB09B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(0.01)</w:t>
            </w:r>
          </w:p>
        </w:tc>
        <w:tc>
          <w:tcPr>
            <w:tcW w:w="0" w:type="auto"/>
            <w:tcBorders>
              <w:top w:val="nil"/>
              <w:left w:val="nil"/>
              <w:bottom w:val="nil"/>
              <w:right w:val="nil"/>
            </w:tcBorders>
            <w:shd w:val="clear" w:color="auto" w:fill="auto"/>
            <w:noWrap/>
            <w:tcMar>
              <w:left w:w="72" w:type="dxa"/>
              <w:right w:w="72" w:type="dxa"/>
            </w:tcMar>
            <w:vAlign w:val="bottom"/>
            <w:hideMark/>
          </w:tcPr>
          <w:p w14:paraId="5CAF975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(0.98)</w:t>
            </w:r>
          </w:p>
        </w:tc>
        <w:tc>
          <w:tcPr>
            <w:tcW w:w="0" w:type="auto"/>
            <w:tcBorders>
              <w:top w:val="nil"/>
              <w:left w:val="nil"/>
              <w:bottom w:val="nil"/>
              <w:right w:val="nil"/>
            </w:tcBorders>
            <w:shd w:val="clear" w:color="auto" w:fill="auto"/>
            <w:noWrap/>
            <w:tcMar>
              <w:left w:w="72" w:type="dxa"/>
              <w:right w:w="72" w:type="dxa"/>
            </w:tcMar>
            <w:vAlign w:val="bottom"/>
            <w:hideMark/>
          </w:tcPr>
          <w:p w14:paraId="574E3F9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(0.76)</w:t>
            </w:r>
          </w:p>
        </w:tc>
        <w:tc>
          <w:tcPr>
            <w:tcW w:w="0" w:type="auto"/>
            <w:tcBorders>
              <w:top w:val="nil"/>
              <w:left w:val="nil"/>
              <w:bottom w:val="nil"/>
              <w:right w:val="nil"/>
            </w:tcBorders>
            <w:shd w:val="clear" w:color="auto" w:fill="auto"/>
            <w:noWrap/>
            <w:tcMar>
              <w:left w:w="72" w:type="dxa"/>
              <w:right w:w="72" w:type="dxa"/>
            </w:tcMar>
            <w:vAlign w:val="bottom"/>
            <w:hideMark/>
          </w:tcPr>
          <w:p w14:paraId="6FEB8E2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(0.64)</w:t>
            </w:r>
          </w:p>
        </w:tc>
        <w:tc>
          <w:tcPr>
            <w:tcW w:w="0" w:type="auto"/>
            <w:tcBorders>
              <w:top w:val="nil"/>
              <w:left w:val="nil"/>
              <w:bottom w:val="nil"/>
              <w:right w:val="nil"/>
            </w:tcBorders>
            <w:shd w:val="clear" w:color="auto" w:fill="auto"/>
            <w:noWrap/>
            <w:tcMar>
              <w:left w:w="72" w:type="dxa"/>
              <w:right w:w="72" w:type="dxa"/>
            </w:tcMar>
            <w:vAlign w:val="bottom"/>
            <w:hideMark/>
          </w:tcPr>
          <w:p w14:paraId="3AB859E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(0.59)</w:t>
            </w:r>
          </w:p>
        </w:tc>
        <w:tc>
          <w:tcPr>
            <w:tcW w:w="0" w:type="auto"/>
            <w:tcBorders>
              <w:top w:val="nil"/>
              <w:left w:val="nil"/>
              <w:bottom w:val="nil"/>
              <w:right w:val="nil"/>
            </w:tcBorders>
            <w:shd w:val="clear" w:color="auto" w:fill="auto"/>
            <w:noWrap/>
            <w:tcMar>
              <w:left w:w="72" w:type="dxa"/>
              <w:right w:w="72" w:type="dxa"/>
            </w:tcMar>
            <w:vAlign w:val="bottom"/>
            <w:hideMark/>
          </w:tcPr>
          <w:p w14:paraId="4D5D217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08D9E7CB"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(0.11)</w:t>
            </w:r>
          </w:p>
        </w:tc>
        <w:tc>
          <w:tcPr>
            <w:tcW w:w="0" w:type="auto"/>
            <w:tcBorders>
              <w:top w:val="nil"/>
              <w:left w:val="nil"/>
              <w:bottom w:val="nil"/>
              <w:right w:val="nil"/>
            </w:tcBorders>
            <w:vAlign w:val="bottom"/>
          </w:tcPr>
          <w:p w14:paraId="2A9DF924"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(0.34)</w:t>
            </w:r>
          </w:p>
        </w:tc>
        <w:tc>
          <w:tcPr>
            <w:tcW w:w="0" w:type="auto"/>
            <w:tcBorders>
              <w:top w:val="nil"/>
              <w:left w:val="nil"/>
              <w:bottom w:val="nil"/>
              <w:right w:val="nil"/>
            </w:tcBorders>
            <w:shd w:val="clear" w:color="auto" w:fill="auto"/>
            <w:noWrap/>
            <w:tcMar>
              <w:left w:w="72" w:type="dxa"/>
              <w:right w:w="72" w:type="dxa"/>
            </w:tcMar>
            <w:vAlign w:val="bottom"/>
            <w:hideMark/>
          </w:tcPr>
          <w:p w14:paraId="096B9BDE"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(0.06)</w:t>
            </w:r>
          </w:p>
        </w:tc>
        <w:tc>
          <w:tcPr>
            <w:tcW w:w="0" w:type="auto"/>
            <w:tcBorders>
              <w:top w:val="nil"/>
              <w:left w:val="nil"/>
              <w:bottom w:val="nil"/>
              <w:right w:val="nil"/>
            </w:tcBorders>
            <w:shd w:val="clear" w:color="auto" w:fill="auto"/>
            <w:noWrap/>
            <w:tcMar>
              <w:left w:w="72" w:type="dxa"/>
              <w:right w:w="72" w:type="dxa"/>
            </w:tcMar>
            <w:vAlign w:val="bottom"/>
            <w:hideMark/>
          </w:tcPr>
          <w:p w14:paraId="00475990"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4C43887B"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5D7C61A"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1D7BF7E"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5CDA1BC4"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4A89A0AA"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4F5FC74C" w14:textId="77777777" w:rsidR="0089544F" w:rsidRPr="00263C50" w:rsidRDefault="0089544F" w:rsidP="00186583">
            <w:pPr>
              <w:rPr>
                <w:rFonts w:ascii="Times New Roman" w:hAnsi="Times New Roman" w:cs="Times New Roman"/>
                <w:color w:val="000000"/>
                <w:sz w:val="14"/>
                <w:szCs w:val="14"/>
                <w:lang w:val="en-US"/>
              </w:rPr>
            </w:pPr>
            <w:proofErr w:type="spellStart"/>
            <w:r w:rsidRPr="00263C50">
              <w:rPr>
                <w:rFonts w:ascii="Times New Roman" w:hAnsi="Times New Roman" w:cs="Times New Roman"/>
                <w:color w:val="000000"/>
                <w:sz w:val="14"/>
                <w:szCs w:val="14"/>
              </w:rPr>
              <w:t>ParentFile</w:t>
            </w:r>
            <w:proofErr w:type="spellEnd"/>
          </w:p>
        </w:tc>
        <w:tc>
          <w:tcPr>
            <w:tcW w:w="0" w:type="auto"/>
            <w:tcBorders>
              <w:top w:val="nil"/>
              <w:left w:val="nil"/>
              <w:bottom w:val="nil"/>
              <w:right w:val="nil"/>
            </w:tcBorders>
            <w:vAlign w:val="bottom"/>
          </w:tcPr>
          <w:p w14:paraId="286D94F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0.02</w:t>
            </w:r>
          </w:p>
        </w:tc>
        <w:tc>
          <w:tcPr>
            <w:tcW w:w="0" w:type="auto"/>
            <w:tcBorders>
              <w:top w:val="nil"/>
              <w:left w:val="nil"/>
              <w:bottom w:val="nil"/>
              <w:right w:val="nil"/>
            </w:tcBorders>
            <w:vAlign w:val="bottom"/>
          </w:tcPr>
          <w:p w14:paraId="0EF87FD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-0.05</w:t>
            </w:r>
          </w:p>
        </w:tc>
        <w:tc>
          <w:tcPr>
            <w:tcW w:w="0" w:type="auto"/>
            <w:tcBorders>
              <w:top w:val="nil"/>
              <w:left w:val="nil"/>
              <w:bottom w:val="nil"/>
              <w:right w:val="nil"/>
            </w:tcBorders>
            <w:shd w:val="clear" w:color="auto" w:fill="auto"/>
            <w:noWrap/>
            <w:tcMar>
              <w:left w:w="72" w:type="dxa"/>
              <w:right w:w="72" w:type="dxa"/>
            </w:tcMar>
            <w:vAlign w:val="bottom"/>
            <w:hideMark/>
          </w:tcPr>
          <w:p w14:paraId="6E4DA9E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0.02</w:t>
            </w:r>
          </w:p>
        </w:tc>
        <w:tc>
          <w:tcPr>
            <w:tcW w:w="0" w:type="auto"/>
            <w:tcBorders>
              <w:top w:val="nil"/>
              <w:left w:val="nil"/>
              <w:bottom w:val="nil"/>
              <w:right w:val="nil"/>
            </w:tcBorders>
            <w:shd w:val="clear" w:color="auto" w:fill="auto"/>
            <w:noWrap/>
            <w:tcMar>
              <w:left w:w="72" w:type="dxa"/>
              <w:right w:w="72" w:type="dxa"/>
            </w:tcMar>
            <w:vAlign w:val="bottom"/>
            <w:hideMark/>
          </w:tcPr>
          <w:p w14:paraId="347C0FB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0.01</w:t>
            </w:r>
          </w:p>
        </w:tc>
        <w:tc>
          <w:tcPr>
            <w:tcW w:w="0" w:type="auto"/>
            <w:tcBorders>
              <w:top w:val="nil"/>
              <w:left w:val="nil"/>
              <w:bottom w:val="nil"/>
              <w:right w:val="nil"/>
            </w:tcBorders>
            <w:shd w:val="clear" w:color="auto" w:fill="auto"/>
            <w:noWrap/>
            <w:tcMar>
              <w:left w:w="72" w:type="dxa"/>
              <w:right w:w="72" w:type="dxa"/>
            </w:tcMar>
            <w:vAlign w:val="bottom"/>
            <w:hideMark/>
          </w:tcPr>
          <w:p w14:paraId="1673784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0.03</w:t>
            </w:r>
          </w:p>
        </w:tc>
        <w:tc>
          <w:tcPr>
            <w:tcW w:w="0" w:type="auto"/>
            <w:tcBorders>
              <w:top w:val="nil"/>
              <w:left w:val="nil"/>
              <w:bottom w:val="nil"/>
              <w:right w:val="nil"/>
            </w:tcBorders>
            <w:shd w:val="clear" w:color="auto" w:fill="auto"/>
            <w:noWrap/>
            <w:tcMar>
              <w:left w:w="72" w:type="dxa"/>
              <w:right w:w="72" w:type="dxa"/>
            </w:tcMar>
            <w:vAlign w:val="bottom"/>
            <w:hideMark/>
          </w:tcPr>
          <w:p w14:paraId="66DA40B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-0.05</w:t>
            </w:r>
          </w:p>
        </w:tc>
        <w:tc>
          <w:tcPr>
            <w:tcW w:w="0" w:type="auto"/>
            <w:tcBorders>
              <w:top w:val="nil"/>
              <w:left w:val="nil"/>
              <w:bottom w:val="nil"/>
              <w:right w:val="nil"/>
            </w:tcBorders>
            <w:shd w:val="clear" w:color="auto" w:fill="auto"/>
            <w:noWrap/>
            <w:tcMar>
              <w:left w:w="72" w:type="dxa"/>
              <w:right w:w="72" w:type="dxa"/>
            </w:tcMar>
            <w:vAlign w:val="bottom"/>
            <w:hideMark/>
          </w:tcPr>
          <w:p w14:paraId="5DF18F2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0.06</w:t>
            </w:r>
          </w:p>
        </w:tc>
        <w:tc>
          <w:tcPr>
            <w:tcW w:w="0" w:type="auto"/>
            <w:tcBorders>
              <w:top w:val="nil"/>
              <w:left w:val="nil"/>
              <w:bottom w:val="nil"/>
              <w:right w:val="nil"/>
            </w:tcBorders>
            <w:shd w:val="clear" w:color="auto" w:fill="auto"/>
            <w:noWrap/>
            <w:tcMar>
              <w:left w:w="72" w:type="dxa"/>
              <w:right w:w="72" w:type="dxa"/>
            </w:tcMar>
            <w:vAlign w:val="bottom"/>
            <w:hideMark/>
          </w:tcPr>
          <w:p w14:paraId="170DFA3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-0.13</w:t>
            </w:r>
          </w:p>
        </w:tc>
        <w:tc>
          <w:tcPr>
            <w:tcW w:w="0" w:type="auto"/>
            <w:tcBorders>
              <w:top w:val="nil"/>
              <w:left w:val="nil"/>
              <w:bottom w:val="nil"/>
              <w:right w:val="nil"/>
            </w:tcBorders>
            <w:shd w:val="clear" w:color="auto" w:fill="auto"/>
            <w:noWrap/>
            <w:tcMar>
              <w:left w:w="72" w:type="dxa"/>
              <w:right w:w="72" w:type="dxa"/>
            </w:tcMar>
            <w:vAlign w:val="bottom"/>
            <w:hideMark/>
          </w:tcPr>
          <w:p w14:paraId="0E445C5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-0.10</w:t>
            </w:r>
          </w:p>
        </w:tc>
        <w:tc>
          <w:tcPr>
            <w:tcW w:w="0" w:type="auto"/>
            <w:tcBorders>
              <w:top w:val="nil"/>
              <w:left w:val="nil"/>
              <w:bottom w:val="nil"/>
              <w:right w:val="nil"/>
            </w:tcBorders>
            <w:shd w:val="clear" w:color="auto" w:fill="auto"/>
            <w:noWrap/>
            <w:tcMar>
              <w:left w:w="72" w:type="dxa"/>
              <w:right w:w="72" w:type="dxa"/>
            </w:tcMar>
            <w:vAlign w:val="bottom"/>
            <w:hideMark/>
          </w:tcPr>
          <w:p w14:paraId="6F97E32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30F13B3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0.22</w:t>
            </w:r>
          </w:p>
        </w:tc>
        <w:tc>
          <w:tcPr>
            <w:tcW w:w="0" w:type="auto"/>
            <w:tcBorders>
              <w:top w:val="nil"/>
              <w:left w:val="nil"/>
              <w:bottom w:val="nil"/>
              <w:right w:val="nil"/>
            </w:tcBorders>
            <w:vAlign w:val="bottom"/>
          </w:tcPr>
          <w:p w14:paraId="31785DF4"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-0.21</w:t>
            </w:r>
          </w:p>
        </w:tc>
        <w:tc>
          <w:tcPr>
            <w:tcW w:w="0" w:type="auto"/>
            <w:tcBorders>
              <w:top w:val="nil"/>
              <w:left w:val="nil"/>
              <w:bottom w:val="nil"/>
              <w:right w:val="nil"/>
            </w:tcBorders>
            <w:shd w:val="clear" w:color="auto" w:fill="auto"/>
            <w:noWrap/>
            <w:tcMar>
              <w:left w:w="72" w:type="dxa"/>
              <w:right w:w="72" w:type="dxa"/>
            </w:tcMar>
            <w:vAlign w:val="bottom"/>
            <w:hideMark/>
          </w:tcPr>
          <w:p w14:paraId="71B93859"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-0.15</w:t>
            </w:r>
          </w:p>
        </w:tc>
        <w:tc>
          <w:tcPr>
            <w:tcW w:w="0" w:type="auto"/>
            <w:tcBorders>
              <w:top w:val="nil"/>
              <w:left w:val="nil"/>
              <w:bottom w:val="nil"/>
              <w:right w:val="nil"/>
            </w:tcBorders>
            <w:shd w:val="clear" w:color="auto" w:fill="auto"/>
            <w:noWrap/>
            <w:tcMar>
              <w:left w:w="72" w:type="dxa"/>
              <w:right w:w="72" w:type="dxa"/>
            </w:tcMar>
            <w:vAlign w:val="bottom"/>
            <w:hideMark/>
          </w:tcPr>
          <w:p w14:paraId="69B39EF2"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-0.21</w:t>
            </w:r>
          </w:p>
        </w:tc>
        <w:tc>
          <w:tcPr>
            <w:tcW w:w="0" w:type="auto"/>
            <w:tcBorders>
              <w:top w:val="nil"/>
              <w:left w:val="nil"/>
              <w:bottom w:val="nil"/>
              <w:right w:val="nil"/>
            </w:tcBorders>
            <w:shd w:val="clear" w:color="auto" w:fill="auto"/>
            <w:noWrap/>
            <w:tcMar>
              <w:left w:w="72" w:type="dxa"/>
              <w:right w:w="72" w:type="dxa"/>
            </w:tcMar>
            <w:vAlign w:val="bottom"/>
            <w:hideMark/>
          </w:tcPr>
          <w:p w14:paraId="2AE5AA6B"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shd w:val="clear" w:color="auto" w:fill="auto"/>
            <w:noWrap/>
            <w:tcMar>
              <w:left w:w="72" w:type="dxa"/>
              <w:right w:w="72" w:type="dxa"/>
            </w:tcMar>
            <w:vAlign w:val="bottom"/>
            <w:hideMark/>
          </w:tcPr>
          <w:p w14:paraId="47C7920E"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4E3AEBFE"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457C3EFF"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3D4087C6"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1CE58668" w14:textId="77777777" w:rsidR="0089544F" w:rsidRPr="00263C50" w:rsidRDefault="0089544F" w:rsidP="00186583">
            <w:pP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2C6205C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(0.83)</w:t>
            </w:r>
          </w:p>
        </w:tc>
        <w:tc>
          <w:tcPr>
            <w:tcW w:w="0" w:type="auto"/>
            <w:tcBorders>
              <w:top w:val="nil"/>
              <w:left w:val="nil"/>
              <w:bottom w:val="nil"/>
              <w:right w:val="nil"/>
            </w:tcBorders>
            <w:vAlign w:val="bottom"/>
          </w:tcPr>
          <w:p w14:paraId="4785178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(0.54)</w:t>
            </w:r>
          </w:p>
        </w:tc>
        <w:tc>
          <w:tcPr>
            <w:tcW w:w="0" w:type="auto"/>
            <w:tcBorders>
              <w:top w:val="nil"/>
              <w:left w:val="nil"/>
              <w:bottom w:val="nil"/>
              <w:right w:val="nil"/>
            </w:tcBorders>
            <w:shd w:val="clear" w:color="auto" w:fill="auto"/>
            <w:noWrap/>
            <w:tcMar>
              <w:left w:w="72" w:type="dxa"/>
              <w:right w:w="72" w:type="dxa"/>
            </w:tcMar>
            <w:vAlign w:val="bottom"/>
            <w:hideMark/>
          </w:tcPr>
          <w:p w14:paraId="57E5A87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(0.78)</w:t>
            </w:r>
          </w:p>
        </w:tc>
        <w:tc>
          <w:tcPr>
            <w:tcW w:w="0" w:type="auto"/>
            <w:tcBorders>
              <w:top w:val="nil"/>
              <w:left w:val="nil"/>
              <w:bottom w:val="nil"/>
              <w:right w:val="nil"/>
            </w:tcBorders>
            <w:shd w:val="clear" w:color="auto" w:fill="auto"/>
            <w:noWrap/>
            <w:tcMar>
              <w:left w:w="72" w:type="dxa"/>
              <w:right w:w="72" w:type="dxa"/>
            </w:tcMar>
            <w:vAlign w:val="bottom"/>
            <w:hideMark/>
          </w:tcPr>
          <w:p w14:paraId="207D673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(0.91)</w:t>
            </w:r>
          </w:p>
        </w:tc>
        <w:tc>
          <w:tcPr>
            <w:tcW w:w="0" w:type="auto"/>
            <w:tcBorders>
              <w:top w:val="nil"/>
              <w:left w:val="nil"/>
              <w:bottom w:val="nil"/>
              <w:right w:val="nil"/>
            </w:tcBorders>
            <w:shd w:val="clear" w:color="auto" w:fill="auto"/>
            <w:noWrap/>
            <w:tcMar>
              <w:left w:w="72" w:type="dxa"/>
              <w:right w:w="72" w:type="dxa"/>
            </w:tcMar>
            <w:vAlign w:val="bottom"/>
            <w:hideMark/>
          </w:tcPr>
          <w:p w14:paraId="05EDEF2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(0.75)</w:t>
            </w:r>
          </w:p>
        </w:tc>
        <w:tc>
          <w:tcPr>
            <w:tcW w:w="0" w:type="auto"/>
            <w:tcBorders>
              <w:top w:val="nil"/>
              <w:left w:val="nil"/>
              <w:bottom w:val="nil"/>
              <w:right w:val="nil"/>
            </w:tcBorders>
            <w:shd w:val="clear" w:color="auto" w:fill="auto"/>
            <w:noWrap/>
            <w:tcMar>
              <w:left w:w="72" w:type="dxa"/>
              <w:right w:w="72" w:type="dxa"/>
            </w:tcMar>
            <w:vAlign w:val="bottom"/>
            <w:hideMark/>
          </w:tcPr>
          <w:p w14:paraId="13FD08F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(0.57)</w:t>
            </w:r>
          </w:p>
        </w:tc>
        <w:tc>
          <w:tcPr>
            <w:tcW w:w="0" w:type="auto"/>
            <w:tcBorders>
              <w:top w:val="nil"/>
              <w:left w:val="nil"/>
              <w:bottom w:val="nil"/>
              <w:right w:val="nil"/>
            </w:tcBorders>
            <w:shd w:val="clear" w:color="auto" w:fill="auto"/>
            <w:noWrap/>
            <w:tcMar>
              <w:left w:w="72" w:type="dxa"/>
              <w:right w:w="72" w:type="dxa"/>
            </w:tcMar>
            <w:vAlign w:val="bottom"/>
            <w:hideMark/>
          </w:tcPr>
          <w:p w14:paraId="6D4D6BA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(0.45)</w:t>
            </w:r>
          </w:p>
        </w:tc>
        <w:tc>
          <w:tcPr>
            <w:tcW w:w="0" w:type="auto"/>
            <w:tcBorders>
              <w:top w:val="nil"/>
              <w:left w:val="nil"/>
              <w:bottom w:val="nil"/>
              <w:right w:val="nil"/>
            </w:tcBorders>
            <w:shd w:val="clear" w:color="auto" w:fill="auto"/>
            <w:noWrap/>
            <w:tcMar>
              <w:left w:w="72" w:type="dxa"/>
              <w:right w:w="72" w:type="dxa"/>
            </w:tcMar>
            <w:vAlign w:val="bottom"/>
            <w:hideMark/>
          </w:tcPr>
          <w:p w14:paraId="4E27DEE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(0.13)</w:t>
            </w:r>
          </w:p>
        </w:tc>
        <w:tc>
          <w:tcPr>
            <w:tcW w:w="0" w:type="auto"/>
            <w:tcBorders>
              <w:top w:val="nil"/>
              <w:left w:val="nil"/>
              <w:bottom w:val="nil"/>
              <w:right w:val="nil"/>
            </w:tcBorders>
            <w:shd w:val="clear" w:color="auto" w:fill="auto"/>
            <w:noWrap/>
            <w:tcMar>
              <w:left w:w="72" w:type="dxa"/>
              <w:right w:w="72" w:type="dxa"/>
            </w:tcMar>
            <w:vAlign w:val="bottom"/>
            <w:hideMark/>
          </w:tcPr>
          <w:p w14:paraId="6A9F19D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(0.23)</w:t>
            </w:r>
          </w:p>
        </w:tc>
        <w:tc>
          <w:tcPr>
            <w:tcW w:w="0" w:type="auto"/>
            <w:tcBorders>
              <w:top w:val="nil"/>
              <w:left w:val="nil"/>
              <w:bottom w:val="nil"/>
              <w:right w:val="nil"/>
            </w:tcBorders>
            <w:shd w:val="clear" w:color="auto" w:fill="auto"/>
            <w:noWrap/>
            <w:tcMar>
              <w:left w:w="72" w:type="dxa"/>
              <w:right w:w="72" w:type="dxa"/>
            </w:tcMar>
            <w:vAlign w:val="bottom"/>
            <w:hideMark/>
          </w:tcPr>
          <w:p w14:paraId="74AFF3D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(0.96)</w:t>
            </w:r>
          </w:p>
        </w:tc>
        <w:tc>
          <w:tcPr>
            <w:tcW w:w="0" w:type="auto"/>
            <w:tcBorders>
              <w:top w:val="nil"/>
              <w:left w:val="nil"/>
              <w:bottom w:val="nil"/>
              <w:right w:val="nil"/>
            </w:tcBorders>
            <w:shd w:val="clear" w:color="auto" w:fill="auto"/>
            <w:noWrap/>
            <w:tcMar>
              <w:left w:w="72" w:type="dxa"/>
              <w:right w:w="72" w:type="dxa"/>
            </w:tcMar>
            <w:vAlign w:val="bottom"/>
            <w:hideMark/>
          </w:tcPr>
          <w:p w14:paraId="1D2BA1E2"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(0.01)</w:t>
            </w:r>
          </w:p>
        </w:tc>
        <w:tc>
          <w:tcPr>
            <w:tcW w:w="0" w:type="auto"/>
            <w:tcBorders>
              <w:top w:val="nil"/>
              <w:left w:val="nil"/>
              <w:bottom w:val="nil"/>
              <w:right w:val="nil"/>
            </w:tcBorders>
            <w:vAlign w:val="bottom"/>
          </w:tcPr>
          <w:p w14:paraId="2DEE15EC"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(0.01)</w:t>
            </w:r>
          </w:p>
        </w:tc>
        <w:tc>
          <w:tcPr>
            <w:tcW w:w="0" w:type="auto"/>
            <w:tcBorders>
              <w:top w:val="nil"/>
              <w:left w:val="nil"/>
              <w:bottom w:val="nil"/>
              <w:right w:val="nil"/>
            </w:tcBorders>
            <w:shd w:val="clear" w:color="auto" w:fill="auto"/>
            <w:noWrap/>
            <w:tcMar>
              <w:left w:w="72" w:type="dxa"/>
              <w:right w:w="72" w:type="dxa"/>
            </w:tcMar>
            <w:vAlign w:val="bottom"/>
            <w:hideMark/>
          </w:tcPr>
          <w:p w14:paraId="21CBC8C4"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(0.07)</w:t>
            </w:r>
          </w:p>
        </w:tc>
        <w:tc>
          <w:tcPr>
            <w:tcW w:w="0" w:type="auto"/>
            <w:tcBorders>
              <w:top w:val="nil"/>
              <w:left w:val="nil"/>
              <w:bottom w:val="nil"/>
              <w:right w:val="nil"/>
            </w:tcBorders>
            <w:shd w:val="clear" w:color="auto" w:fill="auto"/>
            <w:noWrap/>
            <w:tcMar>
              <w:left w:w="72" w:type="dxa"/>
              <w:right w:w="72" w:type="dxa"/>
            </w:tcMar>
            <w:vAlign w:val="bottom"/>
            <w:hideMark/>
          </w:tcPr>
          <w:p w14:paraId="21E1CC5D" w14:textId="77777777" w:rsidR="0089544F" w:rsidRPr="00263C50" w:rsidRDefault="0089544F" w:rsidP="00186583">
            <w:pPr>
              <w:jc w:val="center"/>
              <w:rPr>
                <w:rFonts w:ascii="Times New Roman" w:hAnsi="Times New Roman" w:cs="Times New Roman"/>
                <w:sz w:val="14"/>
                <w:szCs w:val="14"/>
                <w:lang w:val="en-US"/>
              </w:rPr>
            </w:pPr>
            <w:r w:rsidRPr="00263C50">
              <w:rPr>
                <w:rFonts w:ascii="Times New Roman" w:hAnsi="Times New Roman" w:cs="Times New Roman"/>
                <w:color w:val="000000"/>
                <w:sz w:val="14"/>
                <w:szCs w:val="14"/>
              </w:rPr>
              <w:t>(0.01)</w:t>
            </w:r>
          </w:p>
        </w:tc>
        <w:tc>
          <w:tcPr>
            <w:tcW w:w="0" w:type="auto"/>
            <w:tcBorders>
              <w:top w:val="nil"/>
              <w:left w:val="nil"/>
              <w:bottom w:val="nil"/>
              <w:right w:val="nil"/>
            </w:tcBorders>
            <w:shd w:val="clear" w:color="auto" w:fill="auto"/>
            <w:noWrap/>
            <w:tcMar>
              <w:left w:w="72" w:type="dxa"/>
              <w:right w:w="72" w:type="dxa"/>
            </w:tcMar>
            <w:vAlign w:val="bottom"/>
            <w:hideMark/>
          </w:tcPr>
          <w:p w14:paraId="6E69D85C"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6D9E33AF"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6931C0ED" w14:textId="77777777" w:rsidR="0089544F" w:rsidRPr="00263C50" w:rsidRDefault="0089544F" w:rsidP="00186583">
            <w:pPr>
              <w:jc w:val="center"/>
              <w:rPr>
                <w:rFonts w:ascii="Times New Roman" w:hAnsi="Times New Roman" w:cs="Times New Roman"/>
                <w:sz w:val="14"/>
                <w:szCs w:val="14"/>
                <w:lang w:val="en-US"/>
              </w:rPr>
            </w:pPr>
          </w:p>
        </w:tc>
        <w:tc>
          <w:tcPr>
            <w:tcW w:w="0" w:type="auto"/>
            <w:tcBorders>
              <w:top w:val="nil"/>
              <w:left w:val="nil"/>
              <w:bottom w:val="nil"/>
              <w:right w:val="nil"/>
            </w:tcBorders>
            <w:shd w:val="clear" w:color="auto" w:fill="auto"/>
            <w:noWrap/>
            <w:tcMar>
              <w:left w:w="72" w:type="dxa"/>
              <w:right w:w="72" w:type="dxa"/>
            </w:tcMar>
            <w:vAlign w:val="bottom"/>
            <w:hideMark/>
          </w:tcPr>
          <w:p w14:paraId="34C323C8"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66A4572D"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6FA581C8" w14:textId="77777777" w:rsidR="0089544F" w:rsidRPr="00263C50" w:rsidRDefault="0089544F" w:rsidP="00186583">
            <w:pPr>
              <w:rPr>
                <w:rFonts w:ascii="Times New Roman" w:hAnsi="Times New Roman" w:cs="Times New Roman"/>
                <w:color w:val="000000"/>
                <w:sz w:val="14"/>
                <w:szCs w:val="14"/>
                <w:lang w:val="en-US"/>
              </w:rPr>
            </w:pPr>
            <w:r w:rsidRPr="00263C50">
              <w:rPr>
                <w:rFonts w:ascii="Times New Roman" w:hAnsi="Times New Roman" w:cs="Times New Roman"/>
                <w:color w:val="000000"/>
                <w:sz w:val="14"/>
                <w:szCs w:val="14"/>
              </w:rPr>
              <w:t>Family</w:t>
            </w:r>
          </w:p>
        </w:tc>
        <w:tc>
          <w:tcPr>
            <w:tcW w:w="0" w:type="auto"/>
            <w:tcBorders>
              <w:top w:val="nil"/>
              <w:left w:val="nil"/>
              <w:bottom w:val="nil"/>
              <w:right w:val="nil"/>
            </w:tcBorders>
            <w:vAlign w:val="bottom"/>
          </w:tcPr>
          <w:p w14:paraId="3B70C11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0.04</w:t>
            </w:r>
          </w:p>
        </w:tc>
        <w:tc>
          <w:tcPr>
            <w:tcW w:w="0" w:type="auto"/>
            <w:tcBorders>
              <w:top w:val="nil"/>
              <w:left w:val="nil"/>
              <w:bottom w:val="nil"/>
              <w:right w:val="nil"/>
            </w:tcBorders>
            <w:vAlign w:val="bottom"/>
          </w:tcPr>
          <w:p w14:paraId="6FACEE9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0.09</w:t>
            </w:r>
          </w:p>
        </w:tc>
        <w:tc>
          <w:tcPr>
            <w:tcW w:w="0" w:type="auto"/>
            <w:tcBorders>
              <w:top w:val="nil"/>
              <w:left w:val="nil"/>
              <w:bottom w:val="nil"/>
              <w:right w:val="nil"/>
            </w:tcBorders>
            <w:shd w:val="clear" w:color="auto" w:fill="auto"/>
            <w:noWrap/>
            <w:tcMar>
              <w:left w:w="72" w:type="dxa"/>
              <w:right w:w="72" w:type="dxa"/>
            </w:tcMar>
            <w:vAlign w:val="bottom"/>
            <w:hideMark/>
          </w:tcPr>
          <w:p w14:paraId="58490EA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0.07</w:t>
            </w:r>
          </w:p>
        </w:tc>
        <w:tc>
          <w:tcPr>
            <w:tcW w:w="0" w:type="auto"/>
            <w:tcBorders>
              <w:top w:val="nil"/>
              <w:left w:val="nil"/>
              <w:bottom w:val="nil"/>
              <w:right w:val="nil"/>
            </w:tcBorders>
            <w:shd w:val="clear" w:color="auto" w:fill="auto"/>
            <w:noWrap/>
            <w:tcMar>
              <w:left w:w="72" w:type="dxa"/>
              <w:right w:w="72" w:type="dxa"/>
            </w:tcMar>
            <w:vAlign w:val="bottom"/>
            <w:hideMark/>
          </w:tcPr>
          <w:p w14:paraId="05C354A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0.14</w:t>
            </w:r>
          </w:p>
        </w:tc>
        <w:tc>
          <w:tcPr>
            <w:tcW w:w="0" w:type="auto"/>
            <w:tcBorders>
              <w:top w:val="nil"/>
              <w:left w:val="nil"/>
              <w:bottom w:val="nil"/>
              <w:right w:val="nil"/>
            </w:tcBorders>
            <w:shd w:val="clear" w:color="auto" w:fill="auto"/>
            <w:noWrap/>
            <w:tcMar>
              <w:left w:w="72" w:type="dxa"/>
              <w:right w:w="72" w:type="dxa"/>
            </w:tcMar>
            <w:vAlign w:val="bottom"/>
            <w:hideMark/>
          </w:tcPr>
          <w:p w14:paraId="3193C23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0.06</w:t>
            </w:r>
          </w:p>
        </w:tc>
        <w:tc>
          <w:tcPr>
            <w:tcW w:w="0" w:type="auto"/>
            <w:tcBorders>
              <w:top w:val="nil"/>
              <w:left w:val="nil"/>
              <w:bottom w:val="nil"/>
              <w:right w:val="nil"/>
            </w:tcBorders>
            <w:shd w:val="clear" w:color="auto" w:fill="auto"/>
            <w:noWrap/>
            <w:tcMar>
              <w:left w:w="72" w:type="dxa"/>
              <w:right w:w="72" w:type="dxa"/>
            </w:tcMar>
            <w:vAlign w:val="bottom"/>
            <w:hideMark/>
          </w:tcPr>
          <w:p w14:paraId="0C8F9F1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0.06</w:t>
            </w:r>
          </w:p>
        </w:tc>
        <w:tc>
          <w:tcPr>
            <w:tcW w:w="0" w:type="auto"/>
            <w:tcBorders>
              <w:top w:val="nil"/>
              <w:left w:val="nil"/>
              <w:bottom w:val="nil"/>
              <w:right w:val="nil"/>
            </w:tcBorders>
            <w:shd w:val="clear" w:color="auto" w:fill="auto"/>
            <w:noWrap/>
            <w:tcMar>
              <w:left w:w="72" w:type="dxa"/>
              <w:right w:w="72" w:type="dxa"/>
            </w:tcMar>
            <w:vAlign w:val="bottom"/>
            <w:hideMark/>
          </w:tcPr>
          <w:p w14:paraId="7CD7E62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0.05</w:t>
            </w:r>
          </w:p>
        </w:tc>
        <w:tc>
          <w:tcPr>
            <w:tcW w:w="0" w:type="auto"/>
            <w:tcBorders>
              <w:top w:val="nil"/>
              <w:left w:val="nil"/>
              <w:bottom w:val="nil"/>
              <w:right w:val="nil"/>
            </w:tcBorders>
            <w:shd w:val="clear" w:color="auto" w:fill="auto"/>
            <w:noWrap/>
            <w:tcMar>
              <w:left w:w="72" w:type="dxa"/>
              <w:right w:w="72" w:type="dxa"/>
            </w:tcMar>
            <w:vAlign w:val="bottom"/>
            <w:hideMark/>
          </w:tcPr>
          <w:p w14:paraId="01A5AFC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-0.05</w:t>
            </w:r>
          </w:p>
        </w:tc>
        <w:tc>
          <w:tcPr>
            <w:tcW w:w="0" w:type="auto"/>
            <w:tcBorders>
              <w:top w:val="nil"/>
              <w:left w:val="nil"/>
              <w:bottom w:val="nil"/>
              <w:right w:val="nil"/>
            </w:tcBorders>
            <w:shd w:val="clear" w:color="auto" w:fill="auto"/>
            <w:noWrap/>
            <w:tcMar>
              <w:left w:w="72" w:type="dxa"/>
              <w:right w:w="72" w:type="dxa"/>
            </w:tcMar>
            <w:vAlign w:val="bottom"/>
            <w:hideMark/>
          </w:tcPr>
          <w:p w14:paraId="4C561D8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-0.06</w:t>
            </w:r>
          </w:p>
        </w:tc>
        <w:tc>
          <w:tcPr>
            <w:tcW w:w="0" w:type="auto"/>
            <w:tcBorders>
              <w:top w:val="nil"/>
              <w:left w:val="nil"/>
              <w:bottom w:val="nil"/>
              <w:right w:val="nil"/>
            </w:tcBorders>
            <w:shd w:val="clear" w:color="auto" w:fill="auto"/>
            <w:noWrap/>
            <w:tcMar>
              <w:left w:w="72" w:type="dxa"/>
              <w:right w:w="72" w:type="dxa"/>
            </w:tcMar>
            <w:vAlign w:val="bottom"/>
            <w:hideMark/>
          </w:tcPr>
          <w:p w14:paraId="1EB74D3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-0.11</w:t>
            </w:r>
          </w:p>
        </w:tc>
        <w:tc>
          <w:tcPr>
            <w:tcW w:w="0" w:type="auto"/>
            <w:tcBorders>
              <w:top w:val="nil"/>
              <w:left w:val="nil"/>
              <w:bottom w:val="nil"/>
              <w:right w:val="nil"/>
            </w:tcBorders>
            <w:shd w:val="clear" w:color="auto" w:fill="auto"/>
            <w:noWrap/>
            <w:tcMar>
              <w:left w:w="72" w:type="dxa"/>
              <w:right w:w="72" w:type="dxa"/>
            </w:tcMar>
            <w:vAlign w:val="bottom"/>
            <w:hideMark/>
          </w:tcPr>
          <w:p w14:paraId="7918EF8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0.11</w:t>
            </w:r>
          </w:p>
        </w:tc>
        <w:tc>
          <w:tcPr>
            <w:tcW w:w="0" w:type="auto"/>
            <w:tcBorders>
              <w:top w:val="nil"/>
              <w:left w:val="nil"/>
              <w:bottom w:val="nil"/>
              <w:right w:val="nil"/>
            </w:tcBorders>
            <w:vAlign w:val="bottom"/>
          </w:tcPr>
          <w:p w14:paraId="4CA9AD4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0.06</w:t>
            </w:r>
          </w:p>
        </w:tc>
        <w:tc>
          <w:tcPr>
            <w:tcW w:w="0" w:type="auto"/>
            <w:tcBorders>
              <w:top w:val="nil"/>
              <w:left w:val="nil"/>
              <w:bottom w:val="nil"/>
              <w:right w:val="nil"/>
            </w:tcBorders>
            <w:shd w:val="clear" w:color="auto" w:fill="auto"/>
            <w:noWrap/>
            <w:tcMar>
              <w:left w:w="72" w:type="dxa"/>
              <w:right w:w="72" w:type="dxa"/>
            </w:tcMar>
            <w:vAlign w:val="bottom"/>
            <w:hideMark/>
          </w:tcPr>
          <w:p w14:paraId="2469BFF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0.13</w:t>
            </w:r>
          </w:p>
        </w:tc>
        <w:tc>
          <w:tcPr>
            <w:tcW w:w="0" w:type="auto"/>
            <w:tcBorders>
              <w:top w:val="nil"/>
              <w:left w:val="nil"/>
              <w:bottom w:val="nil"/>
              <w:right w:val="nil"/>
            </w:tcBorders>
            <w:shd w:val="clear" w:color="auto" w:fill="auto"/>
            <w:noWrap/>
            <w:tcMar>
              <w:left w:w="72" w:type="dxa"/>
              <w:right w:w="72" w:type="dxa"/>
            </w:tcMar>
            <w:vAlign w:val="bottom"/>
            <w:hideMark/>
          </w:tcPr>
          <w:p w14:paraId="07F6E0B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-0.01</w:t>
            </w:r>
          </w:p>
        </w:tc>
        <w:tc>
          <w:tcPr>
            <w:tcW w:w="0" w:type="auto"/>
            <w:tcBorders>
              <w:top w:val="nil"/>
              <w:left w:val="nil"/>
              <w:bottom w:val="nil"/>
              <w:right w:val="nil"/>
            </w:tcBorders>
            <w:shd w:val="clear" w:color="auto" w:fill="auto"/>
            <w:noWrap/>
            <w:tcMar>
              <w:left w:w="72" w:type="dxa"/>
              <w:right w:w="72" w:type="dxa"/>
            </w:tcMar>
            <w:vAlign w:val="bottom"/>
            <w:hideMark/>
          </w:tcPr>
          <w:p w14:paraId="2516BE5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shd w:val="clear" w:color="auto" w:fill="auto"/>
            <w:noWrap/>
            <w:tcMar>
              <w:left w:w="72" w:type="dxa"/>
              <w:right w:w="72" w:type="dxa"/>
            </w:tcMar>
            <w:vAlign w:val="bottom"/>
            <w:hideMark/>
          </w:tcPr>
          <w:p w14:paraId="7490F9D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shd w:val="clear" w:color="auto" w:fill="auto"/>
            <w:noWrap/>
            <w:tcMar>
              <w:left w:w="72" w:type="dxa"/>
              <w:right w:w="72" w:type="dxa"/>
            </w:tcMar>
            <w:vAlign w:val="bottom"/>
            <w:hideMark/>
          </w:tcPr>
          <w:p w14:paraId="78CE0FC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143F978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r>
      <w:tr w:rsidR="0089544F" w:rsidRPr="00263C50" w14:paraId="62667AFD"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49B14A57" w14:textId="77777777" w:rsidR="0089544F" w:rsidRPr="00263C50" w:rsidRDefault="0089544F" w:rsidP="00186583">
            <w:pPr>
              <w:rPr>
                <w:rFonts w:ascii="Times New Roman" w:hAnsi="Times New Roman" w:cs="Times New Roman"/>
                <w:sz w:val="14"/>
                <w:szCs w:val="14"/>
                <w:lang w:val="en-US"/>
              </w:rPr>
            </w:pPr>
          </w:p>
        </w:tc>
        <w:tc>
          <w:tcPr>
            <w:tcW w:w="0" w:type="auto"/>
            <w:tcBorders>
              <w:top w:val="nil"/>
              <w:left w:val="nil"/>
              <w:bottom w:val="nil"/>
              <w:right w:val="nil"/>
            </w:tcBorders>
            <w:vAlign w:val="bottom"/>
          </w:tcPr>
          <w:p w14:paraId="317DC22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(0.62)</w:t>
            </w:r>
          </w:p>
        </w:tc>
        <w:tc>
          <w:tcPr>
            <w:tcW w:w="0" w:type="auto"/>
            <w:tcBorders>
              <w:top w:val="nil"/>
              <w:left w:val="nil"/>
              <w:bottom w:val="nil"/>
              <w:right w:val="nil"/>
            </w:tcBorders>
            <w:vAlign w:val="bottom"/>
          </w:tcPr>
          <w:p w14:paraId="408DFDC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(0.30)</w:t>
            </w:r>
          </w:p>
        </w:tc>
        <w:tc>
          <w:tcPr>
            <w:tcW w:w="0" w:type="auto"/>
            <w:tcBorders>
              <w:top w:val="nil"/>
              <w:left w:val="nil"/>
              <w:bottom w:val="nil"/>
              <w:right w:val="nil"/>
            </w:tcBorders>
            <w:shd w:val="clear" w:color="auto" w:fill="auto"/>
            <w:noWrap/>
            <w:tcMar>
              <w:left w:w="72" w:type="dxa"/>
              <w:right w:w="72" w:type="dxa"/>
            </w:tcMar>
            <w:vAlign w:val="bottom"/>
            <w:hideMark/>
          </w:tcPr>
          <w:p w14:paraId="224D8A3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(0.38)</w:t>
            </w:r>
          </w:p>
        </w:tc>
        <w:tc>
          <w:tcPr>
            <w:tcW w:w="0" w:type="auto"/>
            <w:tcBorders>
              <w:top w:val="nil"/>
              <w:left w:val="nil"/>
              <w:bottom w:val="nil"/>
              <w:right w:val="nil"/>
            </w:tcBorders>
            <w:shd w:val="clear" w:color="auto" w:fill="auto"/>
            <w:noWrap/>
            <w:tcMar>
              <w:left w:w="72" w:type="dxa"/>
              <w:right w:w="72" w:type="dxa"/>
            </w:tcMar>
            <w:vAlign w:val="bottom"/>
            <w:hideMark/>
          </w:tcPr>
          <w:p w14:paraId="13BB5DE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(0.09)</w:t>
            </w:r>
          </w:p>
        </w:tc>
        <w:tc>
          <w:tcPr>
            <w:tcW w:w="0" w:type="auto"/>
            <w:tcBorders>
              <w:top w:val="nil"/>
              <w:left w:val="nil"/>
              <w:bottom w:val="nil"/>
              <w:right w:val="nil"/>
            </w:tcBorders>
            <w:shd w:val="clear" w:color="auto" w:fill="auto"/>
            <w:noWrap/>
            <w:tcMar>
              <w:left w:w="72" w:type="dxa"/>
              <w:right w:w="72" w:type="dxa"/>
            </w:tcMar>
            <w:vAlign w:val="bottom"/>
            <w:hideMark/>
          </w:tcPr>
          <w:p w14:paraId="160E5A8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(0.51)</w:t>
            </w:r>
          </w:p>
        </w:tc>
        <w:tc>
          <w:tcPr>
            <w:tcW w:w="0" w:type="auto"/>
            <w:tcBorders>
              <w:top w:val="nil"/>
              <w:left w:val="nil"/>
              <w:bottom w:val="nil"/>
              <w:right w:val="nil"/>
            </w:tcBorders>
            <w:shd w:val="clear" w:color="auto" w:fill="auto"/>
            <w:noWrap/>
            <w:tcMar>
              <w:left w:w="72" w:type="dxa"/>
              <w:right w:w="72" w:type="dxa"/>
            </w:tcMar>
            <w:vAlign w:val="bottom"/>
            <w:hideMark/>
          </w:tcPr>
          <w:p w14:paraId="3FB3F7A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(0.49)</w:t>
            </w:r>
          </w:p>
        </w:tc>
        <w:tc>
          <w:tcPr>
            <w:tcW w:w="0" w:type="auto"/>
            <w:tcBorders>
              <w:top w:val="nil"/>
              <w:left w:val="nil"/>
              <w:bottom w:val="nil"/>
              <w:right w:val="nil"/>
            </w:tcBorders>
            <w:shd w:val="clear" w:color="auto" w:fill="auto"/>
            <w:noWrap/>
            <w:tcMar>
              <w:left w:w="72" w:type="dxa"/>
              <w:right w:w="72" w:type="dxa"/>
            </w:tcMar>
            <w:vAlign w:val="bottom"/>
            <w:hideMark/>
          </w:tcPr>
          <w:p w14:paraId="7630E99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(0.52)</w:t>
            </w:r>
          </w:p>
        </w:tc>
        <w:tc>
          <w:tcPr>
            <w:tcW w:w="0" w:type="auto"/>
            <w:tcBorders>
              <w:top w:val="nil"/>
              <w:left w:val="nil"/>
              <w:bottom w:val="nil"/>
              <w:right w:val="nil"/>
            </w:tcBorders>
            <w:shd w:val="clear" w:color="auto" w:fill="auto"/>
            <w:noWrap/>
            <w:tcMar>
              <w:left w:w="72" w:type="dxa"/>
              <w:right w:w="72" w:type="dxa"/>
            </w:tcMar>
            <w:vAlign w:val="bottom"/>
            <w:hideMark/>
          </w:tcPr>
          <w:p w14:paraId="4D7DD52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(0.58)</w:t>
            </w:r>
          </w:p>
        </w:tc>
        <w:tc>
          <w:tcPr>
            <w:tcW w:w="0" w:type="auto"/>
            <w:tcBorders>
              <w:top w:val="nil"/>
              <w:left w:val="nil"/>
              <w:bottom w:val="nil"/>
              <w:right w:val="nil"/>
            </w:tcBorders>
            <w:shd w:val="clear" w:color="auto" w:fill="auto"/>
            <w:noWrap/>
            <w:tcMar>
              <w:left w:w="72" w:type="dxa"/>
              <w:right w:w="72" w:type="dxa"/>
            </w:tcMar>
            <w:vAlign w:val="bottom"/>
            <w:hideMark/>
          </w:tcPr>
          <w:p w14:paraId="6F66A20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(0.45)</w:t>
            </w:r>
          </w:p>
        </w:tc>
        <w:tc>
          <w:tcPr>
            <w:tcW w:w="0" w:type="auto"/>
            <w:tcBorders>
              <w:top w:val="nil"/>
              <w:left w:val="nil"/>
              <w:bottom w:val="nil"/>
              <w:right w:val="nil"/>
            </w:tcBorders>
            <w:shd w:val="clear" w:color="auto" w:fill="auto"/>
            <w:noWrap/>
            <w:tcMar>
              <w:left w:w="72" w:type="dxa"/>
              <w:right w:w="72" w:type="dxa"/>
            </w:tcMar>
            <w:vAlign w:val="bottom"/>
            <w:hideMark/>
          </w:tcPr>
          <w:p w14:paraId="4F62486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(0.19)</w:t>
            </w:r>
          </w:p>
        </w:tc>
        <w:tc>
          <w:tcPr>
            <w:tcW w:w="0" w:type="auto"/>
            <w:tcBorders>
              <w:top w:val="nil"/>
              <w:left w:val="nil"/>
              <w:bottom w:val="nil"/>
              <w:right w:val="nil"/>
            </w:tcBorders>
            <w:shd w:val="clear" w:color="auto" w:fill="auto"/>
            <w:noWrap/>
            <w:tcMar>
              <w:left w:w="72" w:type="dxa"/>
              <w:right w:w="72" w:type="dxa"/>
            </w:tcMar>
            <w:vAlign w:val="bottom"/>
            <w:hideMark/>
          </w:tcPr>
          <w:p w14:paraId="0881307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(0.19)</w:t>
            </w:r>
          </w:p>
        </w:tc>
        <w:tc>
          <w:tcPr>
            <w:tcW w:w="0" w:type="auto"/>
            <w:tcBorders>
              <w:top w:val="nil"/>
              <w:left w:val="nil"/>
              <w:bottom w:val="nil"/>
              <w:right w:val="nil"/>
            </w:tcBorders>
            <w:vAlign w:val="bottom"/>
          </w:tcPr>
          <w:p w14:paraId="5F2D789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(0.44)</w:t>
            </w:r>
          </w:p>
        </w:tc>
        <w:tc>
          <w:tcPr>
            <w:tcW w:w="0" w:type="auto"/>
            <w:tcBorders>
              <w:top w:val="nil"/>
              <w:left w:val="nil"/>
              <w:bottom w:val="nil"/>
              <w:right w:val="nil"/>
            </w:tcBorders>
            <w:shd w:val="clear" w:color="auto" w:fill="auto"/>
            <w:noWrap/>
            <w:tcMar>
              <w:left w:w="72" w:type="dxa"/>
              <w:right w:w="72" w:type="dxa"/>
            </w:tcMar>
            <w:vAlign w:val="bottom"/>
            <w:hideMark/>
          </w:tcPr>
          <w:p w14:paraId="6E78CCA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(0.11)</w:t>
            </w:r>
          </w:p>
        </w:tc>
        <w:tc>
          <w:tcPr>
            <w:tcW w:w="0" w:type="auto"/>
            <w:tcBorders>
              <w:top w:val="nil"/>
              <w:left w:val="nil"/>
              <w:bottom w:val="nil"/>
              <w:right w:val="nil"/>
            </w:tcBorders>
            <w:shd w:val="clear" w:color="auto" w:fill="auto"/>
            <w:noWrap/>
            <w:tcMar>
              <w:left w:w="72" w:type="dxa"/>
              <w:right w:w="72" w:type="dxa"/>
            </w:tcMar>
            <w:vAlign w:val="bottom"/>
            <w:hideMark/>
          </w:tcPr>
          <w:p w14:paraId="2B50875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(0.86)</w:t>
            </w:r>
          </w:p>
        </w:tc>
        <w:tc>
          <w:tcPr>
            <w:tcW w:w="0" w:type="auto"/>
            <w:tcBorders>
              <w:top w:val="nil"/>
              <w:left w:val="nil"/>
              <w:bottom w:val="nil"/>
              <w:right w:val="nil"/>
            </w:tcBorders>
            <w:shd w:val="clear" w:color="auto" w:fill="auto"/>
            <w:noWrap/>
            <w:tcMar>
              <w:left w:w="72" w:type="dxa"/>
              <w:right w:w="72" w:type="dxa"/>
            </w:tcMar>
            <w:vAlign w:val="bottom"/>
            <w:hideMark/>
          </w:tcPr>
          <w:p w14:paraId="4B65494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(0.99)</w:t>
            </w:r>
          </w:p>
        </w:tc>
        <w:tc>
          <w:tcPr>
            <w:tcW w:w="0" w:type="auto"/>
            <w:tcBorders>
              <w:top w:val="nil"/>
              <w:left w:val="nil"/>
              <w:bottom w:val="nil"/>
              <w:right w:val="nil"/>
            </w:tcBorders>
            <w:shd w:val="clear" w:color="auto" w:fill="auto"/>
            <w:noWrap/>
            <w:tcMar>
              <w:left w:w="72" w:type="dxa"/>
              <w:right w:w="72" w:type="dxa"/>
            </w:tcMar>
            <w:vAlign w:val="bottom"/>
            <w:hideMark/>
          </w:tcPr>
          <w:p w14:paraId="07B8405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428941D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26B0A995" w14:textId="77777777" w:rsidR="0089544F" w:rsidRPr="00263C50" w:rsidRDefault="0089544F" w:rsidP="00186583">
            <w:pPr>
              <w:jc w:val="center"/>
              <w:rPr>
                <w:rFonts w:ascii="Times New Roman" w:hAnsi="Times New Roman" w:cs="Times New Roman"/>
                <w:sz w:val="14"/>
                <w:szCs w:val="14"/>
                <w:lang w:val="en-US"/>
              </w:rPr>
            </w:pPr>
          </w:p>
        </w:tc>
      </w:tr>
      <w:tr w:rsidR="0089544F" w:rsidRPr="00263C50" w14:paraId="159018D5"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10892F27" w14:textId="77777777" w:rsidR="0089544F" w:rsidRPr="00263C50" w:rsidRDefault="0089544F" w:rsidP="00186583">
            <w:pPr>
              <w:rPr>
                <w:rFonts w:ascii="Times New Roman" w:hAnsi="Times New Roman" w:cs="Times New Roman"/>
                <w:color w:val="000000"/>
                <w:sz w:val="14"/>
                <w:szCs w:val="14"/>
                <w:lang w:val="en-US"/>
              </w:rPr>
            </w:pPr>
            <w:proofErr w:type="spellStart"/>
            <w:r w:rsidRPr="00263C50">
              <w:rPr>
                <w:rFonts w:ascii="Times New Roman" w:hAnsi="Times New Roman" w:cs="Times New Roman"/>
                <w:color w:val="000000"/>
                <w:sz w:val="14"/>
                <w:szCs w:val="14"/>
              </w:rPr>
              <w:t>FinExp</w:t>
            </w:r>
            <w:proofErr w:type="spellEnd"/>
          </w:p>
        </w:tc>
        <w:tc>
          <w:tcPr>
            <w:tcW w:w="0" w:type="auto"/>
            <w:tcBorders>
              <w:top w:val="nil"/>
              <w:left w:val="nil"/>
              <w:bottom w:val="nil"/>
              <w:right w:val="nil"/>
            </w:tcBorders>
            <w:vAlign w:val="bottom"/>
          </w:tcPr>
          <w:p w14:paraId="79E2AC9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0.25</w:t>
            </w:r>
          </w:p>
        </w:tc>
        <w:tc>
          <w:tcPr>
            <w:tcW w:w="0" w:type="auto"/>
            <w:tcBorders>
              <w:top w:val="nil"/>
              <w:left w:val="nil"/>
              <w:bottom w:val="nil"/>
              <w:right w:val="nil"/>
            </w:tcBorders>
            <w:vAlign w:val="bottom"/>
          </w:tcPr>
          <w:p w14:paraId="0803999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0.03</w:t>
            </w:r>
          </w:p>
        </w:tc>
        <w:tc>
          <w:tcPr>
            <w:tcW w:w="0" w:type="auto"/>
            <w:tcBorders>
              <w:top w:val="nil"/>
              <w:left w:val="nil"/>
              <w:bottom w:val="nil"/>
              <w:right w:val="nil"/>
            </w:tcBorders>
            <w:shd w:val="clear" w:color="auto" w:fill="auto"/>
            <w:noWrap/>
            <w:tcMar>
              <w:left w:w="72" w:type="dxa"/>
              <w:right w:w="72" w:type="dxa"/>
            </w:tcMar>
            <w:vAlign w:val="bottom"/>
            <w:hideMark/>
          </w:tcPr>
          <w:p w14:paraId="0D26DD1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0.18</w:t>
            </w:r>
          </w:p>
        </w:tc>
        <w:tc>
          <w:tcPr>
            <w:tcW w:w="0" w:type="auto"/>
            <w:tcBorders>
              <w:top w:val="nil"/>
              <w:left w:val="nil"/>
              <w:bottom w:val="nil"/>
              <w:right w:val="nil"/>
            </w:tcBorders>
            <w:shd w:val="clear" w:color="auto" w:fill="auto"/>
            <w:noWrap/>
            <w:tcMar>
              <w:left w:w="72" w:type="dxa"/>
              <w:right w:w="72" w:type="dxa"/>
            </w:tcMar>
            <w:vAlign w:val="bottom"/>
            <w:hideMark/>
          </w:tcPr>
          <w:p w14:paraId="26FC828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0.04</w:t>
            </w:r>
          </w:p>
        </w:tc>
        <w:tc>
          <w:tcPr>
            <w:tcW w:w="0" w:type="auto"/>
            <w:tcBorders>
              <w:top w:val="nil"/>
              <w:left w:val="nil"/>
              <w:bottom w:val="nil"/>
              <w:right w:val="nil"/>
            </w:tcBorders>
            <w:shd w:val="clear" w:color="auto" w:fill="auto"/>
            <w:noWrap/>
            <w:tcMar>
              <w:left w:w="72" w:type="dxa"/>
              <w:right w:w="72" w:type="dxa"/>
            </w:tcMar>
            <w:vAlign w:val="bottom"/>
            <w:hideMark/>
          </w:tcPr>
          <w:p w14:paraId="4028B10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-0.07</w:t>
            </w:r>
          </w:p>
        </w:tc>
        <w:tc>
          <w:tcPr>
            <w:tcW w:w="0" w:type="auto"/>
            <w:tcBorders>
              <w:top w:val="nil"/>
              <w:left w:val="nil"/>
              <w:bottom w:val="nil"/>
              <w:right w:val="nil"/>
            </w:tcBorders>
            <w:shd w:val="clear" w:color="auto" w:fill="auto"/>
            <w:noWrap/>
            <w:tcMar>
              <w:left w:w="72" w:type="dxa"/>
              <w:right w:w="72" w:type="dxa"/>
            </w:tcMar>
            <w:vAlign w:val="bottom"/>
            <w:hideMark/>
          </w:tcPr>
          <w:p w14:paraId="741C9C5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0.09</w:t>
            </w:r>
          </w:p>
        </w:tc>
        <w:tc>
          <w:tcPr>
            <w:tcW w:w="0" w:type="auto"/>
            <w:tcBorders>
              <w:top w:val="nil"/>
              <w:left w:val="nil"/>
              <w:bottom w:val="nil"/>
              <w:right w:val="nil"/>
            </w:tcBorders>
            <w:shd w:val="clear" w:color="auto" w:fill="auto"/>
            <w:noWrap/>
            <w:tcMar>
              <w:left w:w="72" w:type="dxa"/>
              <w:right w:w="72" w:type="dxa"/>
            </w:tcMar>
            <w:vAlign w:val="bottom"/>
            <w:hideMark/>
          </w:tcPr>
          <w:p w14:paraId="08A7331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0.07</w:t>
            </w:r>
          </w:p>
        </w:tc>
        <w:tc>
          <w:tcPr>
            <w:tcW w:w="0" w:type="auto"/>
            <w:tcBorders>
              <w:top w:val="nil"/>
              <w:left w:val="nil"/>
              <w:bottom w:val="nil"/>
              <w:right w:val="nil"/>
            </w:tcBorders>
            <w:shd w:val="clear" w:color="auto" w:fill="auto"/>
            <w:noWrap/>
            <w:tcMar>
              <w:left w:w="72" w:type="dxa"/>
              <w:right w:w="72" w:type="dxa"/>
            </w:tcMar>
            <w:vAlign w:val="bottom"/>
            <w:hideMark/>
          </w:tcPr>
          <w:p w14:paraId="115FBFB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0.04</w:t>
            </w:r>
          </w:p>
        </w:tc>
        <w:tc>
          <w:tcPr>
            <w:tcW w:w="0" w:type="auto"/>
            <w:tcBorders>
              <w:top w:val="nil"/>
              <w:left w:val="nil"/>
              <w:bottom w:val="nil"/>
              <w:right w:val="nil"/>
            </w:tcBorders>
            <w:shd w:val="clear" w:color="auto" w:fill="auto"/>
            <w:noWrap/>
            <w:tcMar>
              <w:left w:w="72" w:type="dxa"/>
              <w:right w:w="72" w:type="dxa"/>
            </w:tcMar>
            <w:vAlign w:val="bottom"/>
            <w:hideMark/>
          </w:tcPr>
          <w:p w14:paraId="214A987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-0.04</w:t>
            </w:r>
          </w:p>
        </w:tc>
        <w:tc>
          <w:tcPr>
            <w:tcW w:w="0" w:type="auto"/>
            <w:tcBorders>
              <w:top w:val="nil"/>
              <w:left w:val="nil"/>
              <w:bottom w:val="nil"/>
              <w:right w:val="nil"/>
            </w:tcBorders>
            <w:shd w:val="clear" w:color="auto" w:fill="auto"/>
            <w:noWrap/>
            <w:tcMar>
              <w:left w:w="72" w:type="dxa"/>
              <w:right w:w="72" w:type="dxa"/>
            </w:tcMar>
            <w:vAlign w:val="bottom"/>
            <w:hideMark/>
          </w:tcPr>
          <w:p w14:paraId="45C7BD8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-0.04</w:t>
            </w:r>
          </w:p>
        </w:tc>
        <w:tc>
          <w:tcPr>
            <w:tcW w:w="0" w:type="auto"/>
            <w:tcBorders>
              <w:top w:val="nil"/>
              <w:left w:val="nil"/>
              <w:bottom w:val="nil"/>
              <w:right w:val="nil"/>
            </w:tcBorders>
            <w:shd w:val="clear" w:color="auto" w:fill="auto"/>
            <w:noWrap/>
            <w:tcMar>
              <w:left w:w="72" w:type="dxa"/>
              <w:right w:w="72" w:type="dxa"/>
            </w:tcMar>
            <w:vAlign w:val="bottom"/>
            <w:hideMark/>
          </w:tcPr>
          <w:p w14:paraId="1ABFF6D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0.25</w:t>
            </w:r>
          </w:p>
        </w:tc>
        <w:tc>
          <w:tcPr>
            <w:tcW w:w="0" w:type="auto"/>
            <w:tcBorders>
              <w:top w:val="nil"/>
              <w:left w:val="nil"/>
              <w:bottom w:val="nil"/>
              <w:right w:val="nil"/>
            </w:tcBorders>
            <w:vAlign w:val="bottom"/>
          </w:tcPr>
          <w:p w14:paraId="516E1C9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0.05</w:t>
            </w:r>
          </w:p>
        </w:tc>
        <w:tc>
          <w:tcPr>
            <w:tcW w:w="0" w:type="auto"/>
            <w:tcBorders>
              <w:top w:val="nil"/>
              <w:left w:val="nil"/>
              <w:bottom w:val="nil"/>
              <w:right w:val="nil"/>
            </w:tcBorders>
            <w:shd w:val="clear" w:color="auto" w:fill="auto"/>
            <w:noWrap/>
            <w:tcMar>
              <w:left w:w="72" w:type="dxa"/>
              <w:right w:w="72" w:type="dxa"/>
            </w:tcMar>
            <w:vAlign w:val="bottom"/>
            <w:hideMark/>
          </w:tcPr>
          <w:p w14:paraId="084B3E9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0.08</w:t>
            </w:r>
          </w:p>
        </w:tc>
        <w:tc>
          <w:tcPr>
            <w:tcW w:w="0" w:type="auto"/>
            <w:tcBorders>
              <w:top w:val="nil"/>
              <w:left w:val="nil"/>
              <w:bottom w:val="nil"/>
              <w:right w:val="nil"/>
            </w:tcBorders>
            <w:shd w:val="clear" w:color="auto" w:fill="auto"/>
            <w:noWrap/>
            <w:tcMar>
              <w:left w:w="72" w:type="dxa"/>
              <w:right w:w="72" w:type="dxa"/>
            </w:tcMar>
            <w:vAlign w:val="bottom"/>
            <w:hideMark/>
          </w:tcPr>
          <w:p w14:paraId="49AE1FF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0.06</w:t>
            </w:r>
          </w:p>
        </w:tc>
        <w:tc>
          <w:tcPr>
            <w:tcW w:w="0" w:type="auto"/>
            <w:tcBorders>
              <w:top w:val="nil"/>
              <w:left w:val="nil"/>
              <w:bottom w:val="nil"/>
              <w:right w:val="nil"/>
            </w:tcBorders>
            <w:shd w:val="clear" w:color="auto" w:fill="auto"/>
            <w:noWrap/>
            <w:tcMar>
              <w:left w:w="72" w:type="dxa"/>
              <w:right w:w="72" w:type="dxa"/>
            </w:tcMar>
            <w:vAlign w:val="bottom"/>
            <w:hideMark/>
          </w:tcPr>
          <w:p w14:paraId="380D4E8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0.11</w:t>
            </w:r>
          </w:p>
        </w:tc>
        <w:tc>
          <w:tcPr>
            <w:tcW w:w="0" w:type="auto"/>
            <w:tcBorders>
              <w:top w:val="nil"/>
              <w:left w:val="nil"/>
              <w:bottom w:val="nil"/>
              <w:right w:val="nil"/>
            </w:tcBorders>
            <w:shd w:val="clear" w:color="auto" w:fill="auto"/>
            <w:noWrap/>
            <w:tcMar>
              <w:left w:w="72" w:type="dxa"/>
              <w:right w:w="72" w:type="dxa"/>
            </w:tcMar>
            <w:vAlign w:val="bottom"/>
            <w:hideMark/>
          </w:tcPr>
          <w:p w14:paraId="7189636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-0.06</w:t>
            </w:r>
          </w:p>
        </w:tc>
        <w:tc>
          <w:tcPr>
            <w:tcW w:w="0" w:type="auto"/>
            <w:tcBorders>
              <w:top w:val="nil"/>
              <w:left w:val="nil"/>
              <w:bottom w:val="nil"/>
              <w:right w:val="nil"/>
            </w:tcBorders>
            <w:shd w:val="clear" w:color="auto" w:fill="auto"/>
            <w:noWrap/>
            <w:tcMar>
              <w:left w:w="72" w:type="dxa"/>
              <w:right w:w="72" w:type="dxa"/>
            </w:tcMar>
            <w:vAlign w:val="bottom"/>
            <w:hideMark/>
          </w:tcPr>
          <w:p w14:paraId="3EB8787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1.00</w:t>
            </w:r>
          </w:p>
        </w:tc>
        <w:tc>
          <w:tcPr>
            <w:tcW w:w="0" w:type="auto"/>
            <w:tcBorders>
              <w:top w:val="nil"/>
              <w:left w:val="nil"/>
              <w:bottom w:val="nil"/>
              <w:right w:val="nil"/>
            </w:tcBorders>
            <w:shd w:val="clear" w:color="auto" w:fill="auto"/>
            <w:noWrap/>
            <w:tcMar>
              <w:left w:w="72" w:type="dxa"/>
              <w:right w:w="72" w:type="dxa"/>
            </w:tcMar>
            <w:vAlign w:val="bottom"/>
            <w:hideMark/>
          </w:tcPr>
          <w:p w14:paraId="45F2FAE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r>
      <w:tr w:rsidR="0089544F" w:rsidRPr="00263C50" w14:paraId="2130D6D8" w14:textId="77777777" w:rsidTr="005668E0">
        <w:trPr>
          <w:trHeight w:val="20"/>
        </w:trPr>
        <w:tc>
          <w:tcPr>
            <w:tcW w:w="0" w:type="auto"/>
            <w:tcBorders>
              <w:top w:val="nil"/>
              <w:left w:val="nil"/>
              <w:bottom w:val="nil"/>
              <w:right w:val="nil"/>
            </w:tcBorders>
            <w:shd w:val="clear" w:color="auto" w:fill="auto"/>
            <w:noWrap/>
            <w:tcMar>
              <w:left w:w="72" w:type="dxa"/>
              <w:right w:w="72" w:type="dxa"/>
            </w:tcMar>
            <w:vAlign w:val="bottom"/>
            <w:hideMark/>
          </w:tcPr>
          <w:p w14:paraId="54155D99" w14:textId="77777777" w:rsidR="0089544F" w:rsidRPr="00263C50" w:rsidRDefault="0089544F" w:rsidP="00186583">
            <w:pPr>
              <w:rPr>
                <w:rFonts w:ascii="Times New Roman" w:hAnsi="Times New Roman" w:cs="Times New Roman"/>
                <w:color w:val="000000"/>
                <w:sz w:val="14"/>
                <w:szCs w:val="14"/>
                <w:lang w:val="en-US"/>
              </w:rPr>
            </w:pPr>
          </w:p>
        </w:tc>
        <w:tc>
          <w:tcPr>
            <w:tcW w:w="0" w:type="auto"/>
            <w:tcBorders>
              <w:top w:val="nil"/>
              <w:left w:val="nil"/>
              <w:bottom w:val="nil"/>
              <w:right w:val="nil"/>
            </w:tcBorders>
            <w:vAlign w:val="bottom"/>
          </w:tcPr>
          <w:p w14:paraId="52B4959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vAlign w:val="bottom"/>
          </w:tcPr>
          <w:p w14:paraId="74DBA7F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(0.71)</w:t>
            </w:r>
          </w:p>
        </w:tc>
        <w:tc>
          <w:tcPr>
            <w:tcW w:w="0" w:type="auto"/>
            <w:tcBorders>
              <w:top w:val="nil"/>
              <w:left w:val="nil"/>
              <w:bottom w:val="nil"/>
              <w:right w:val="nil"/>
            </w:tcBorders>
            <w:shd w:val="clear" w:color="auto" w:fill="auto"/>
            <w:noWrap/>
            <w:tcMar>
              <w:left w:w="72" w:type="dxa"/>
              <w:right w:w="72" w:type="dxa"/>
            </w:tcMar>
            <w:vAlign w:val="bottom"/>
            <w:hideMark/>
          </w:tcPr>
          <w:p w14:paraId="29C8382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(0.03)</w:t>
            </w:r>
          </w:p>
        </w:tc>
        <w:tc>
          <w:tcPr>
            <w:tcW w:w="0" w:type="auto"/>
            <w:tcBorders>
              <w:top w:val="nil"/>
              <w:left w:val="nil"/>
              <w:bottom w:val="nil"/>
              <w:right w:val="nil"/>
            </w:tcBorders>
            <w:shd w:val="clear" w:color="auto" w:fill="auto"/>
            <w:noWrap/>
            <w:tcMar>
              <w:left w:w="72" w:type="dxa"/>
              <w:right w:w="72" w:type="dxa"/>
            </w:tcMar>
            <w:vAlign w:val="bottom"/>
            <w:hideMark/>
          </w:tcPr>
          <w:p w14:paraId="011E0BD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(0.60)</w:t>
            </w:r>
          </w:p>
        </w:tc>
        <w:tc>
          <w:tcPr>
            <w:tcW w:w="0" w:type="auto"/>
            <w:tcBorders>
              <w:top w:val="nil"/>
              <w:left w:val="nil"/>
              <w:bottom w:val="nil"/>
              <w:right w:val="nil"/>
            </w:tcBorders>
            <w:shd w:val="clear" w:color="auto" w:fill="auto"/>
            <w:noWrap/>
            <w:tcMar>
              <w:left w:w="72" w:type="dxa"/>
              <w:right w:w="72" w:type="dxa"/>
            </w:tcMar>
            <w:vAlign w:val="bottom"/>
            <w:hideMark/>
          </w:tcPr>
          <w:p w14:paraId="78B9771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(0.43)</w:t>
            </w:r>
          </w:p>
        </w:tc>
        <w:tc>
          <w:tcPr>
            <w:tcW w:w="0" w:type="auto"/>
            <w:tcBorders>
              <w:top w:val="nil"/>
              <w:left w:val="nil"/>
              <w:bottom w:val="nil"/>
              <w:right w:val="nil"/>
            </w:tcBorders>
            <w:shd w:val="clear" w:color="auto" w:fill="auto"/>
            <w:noWrap/>
            <w:tcMar>
              <w:left w:w="72" w:type="dxa"/>
              <w:right w:w="72" w:type="dxa"/>
            </w:tcMar>
            <w:vAlign w:val="bottom"/>
            <w:hideMark/>
          </w:tcPr>
          <w:p w14:paraId="7E19D55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(0.27)</w:t>
            </w:r>
          </w:p>
        </w:tc>
        <w:tc>
          <w:tcPr>
            <w:tcW w:w="0" w:type="auto"/>
            <w:tcBorders>
              <w:top w:val="nil"/>
              <w:left w:val="nil"/>
              <w:bottom w:val="nil"/>
              <w:right w:val="nil"/>
            </w:tcBorders>
            <w:shd w:val="clear" w:color="auto" w:fill="auto"/>
            <w:noWrap/>
            <w:tcMar>
              <w:left w:w="72" w:type="dxa"/>
              <w:right w:w="72" w:type="dxa"/>
            </w:tcMar>
            <w:vAlign w:val="bottom"/>
            <w:hideMark/>
          </w:tcPr>
          <w:p w14:paraId="4019597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(0.41)</w:t>
            </w:r>
          </w:p>
        </w:tc>
        <w:tc>
          <w:tcPr>
            <w:tcW w:w="0" w:type="auto"/>
            <w:tcBorders>
              <w:top w:val="nil"/>
              <w:left w:val="nil"/>
              <w:bottom w:val="nil"/>
              <w:right w:val="nil"/>
            </w:tcBorders>
            <w:shd w:val="clear" w:color="auto" w:fill="auto"/>
            <w:noWrap/>
            <w:tcMar>
              <w:left w:w="72" w:type="dxa"/>
              <w:right w:w="72" w:type="dxa"/>
            </w:tcMar>
            <w:vAlign w:val="bottom"/>
            <w:hideMark/>
          </w:tcPr>
          <w:p w14:paraId="278A30B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(0.66)</w:t>
            </w:r>
          </w:p>
        </w:tc>
        <w:tc>
          <w:tcPr>
            <w:tcW w:w="0" w:type="auto"/>
            <w:tcBorders>
              <w:top w:val="nil"/>
              <w:left w:val="nil"/>
              <w:bottom w:val="nil"/>
              <w:right w:val="nil"/>
            </w:tcBorders>
            <w:shd w:val="clear" w:color="auto" w:fill="auto"/>
            <w:noWrap/>
            <w:tcMar>
              <w:left w:w="72" w:type="dxa"/>
              <w:right w:w="72" w:type="dxa"/>
            </w:tcMar>
            <w:vAlign w:val="bottom"/>
            <w:hideMark/>
          </w:tcPr>
          <w:p w14:paraId="7B7C2B2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(0.65)</w:t>
            </w:r>
          </w:p>
        </w:tc>
        <w:tc>
          <w:tcPr>
            <w:tcW w:w="0" w:type="auto"/>
            <w:tcBorders>
              <w:top w:val="nil"/>
              <w:left w:val="nil"/>
              <w:bottom w:val="nil"/>
              <w:right w:val="nil"/>
            </w:tcBorders>
            <w:shd w:val="clear" w:color="auto" w:fill="auto"/>
            <w:noWrap/>
            <w:tcMar>
              <w:left w:w="72" w:type="dxa"/>
              <w:right w:w="72" w:type="dxa"/>
            </w:tcMar>
            <w:vAlign w:val="bottom"/>
            <w:hideMark/>
          </w:tcPr>
          <w:p w14:paraId="658F8FD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(0.68)</w:t>
            </w:r>
          </w:p>
        </w:tc>
        <w:tc>
          <w:tcPr>
            <w:tcW w:w="0" w:type="auto"/>
            <w:tcBorders>
              <w:top w:val="nil"/>
              <w:left w:val="nil"/>
              <w:bottom w:val="nil"/>
              <w:right w:val="nil"/>
            </w:tcBorders>
            <w:shd w:val="clear" w:color="auto" w:fill="auto"/>
            <w:noWrap/>
            <w:tcMar>
              <w:left w:w="72" w:type="dxa"/>
              <w:right w:w="72" w:type="dxa"/>
            </w:tcMar>
            <w:vAlign w:val="bottom"/>
            <w:hideMark/>
          </w:tcPr>
          <w:p w14:paraId="4F8E18E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(0.00)</w:t>
            </w:r>
          </w:p>
        </w:tc>
        <w:tc>
          <w:tcPr>
            <w:tcW w:w="0" w:type="auto"/>
            <w:tcBorders>
              <w:top w:val="nil"/>
              <w:left w:val="nil"/>
              <w:bottom w:val="nil"/>
              <w:right w:val="nil"/>
            </w:tcBorders>
            <w:vAlign w:val="bottom"/>
          </w:tcPr>
          <w:p w14:paraId="195D273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(0.54)</w:t>
            </w:r>
          </w:p>
        </w:tc>
        <w:tc>
          <w:tcPr>
            <w:tcW w:w="0" w:type="auto"/>
            <w:tcBorders>
              <w:top w:val="nil"/>
              <w:left w:val="nil"/>
              <w:bottom w:val="nil"/>
              <w:right w:val="nil"/>
            </w:tcBorders>
            <w:shd w:val="clear" w:color="auto" w:fill="auto"/>
            <w:noWrap/>
            <w:tcMar>
              <w:left w:w="72" w:type="dxa"/>
              <w:right w:w="72" w:type="dxa"/>
            </w:tcMar>
            <w:vAlign w:val="bottom"/>
            <w:hideMark/>
          </w:tcPr>
          <w:p w14:paraId="25B51FC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(0.35)</w:t>
            </w:r>
          </w:p>
        </w:tc>
        <w:tc>
          <w:tcPr>
            <w:tcW w:w="0" w:type="auto"/>
            <w:tcBorders>
              <w:top w:val="nil"/>
              <w:left w:val="nil"/>
              <w:bottom w:val="nil"/>
              <w:right w:val="nil"/>
            </w:tcBorders>
            <w:shd w:val="clear" w:color="auto" w:fill="auto"/>
            <w:noWrap/>
            <w:tcMar>
              <w:left w:w="72" w:type="dxa"/>
              <w:right w:w="72" w:type="dxa"/>
            </w:tcMar>
            <w:vAlign w:val="bottom"/>
            <w:hideMark/>
          </w:tcPr>
          <w:p w14:paraId="3091BA4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(0.44)</w:t>
            </w:r>
          </w:p>
        </w:tc>
        <w:tc>
          <w:tcPr>
            <w:tcW w:w="0" w:type="auto"/>
            <w:tcBorders>
              <w:top w:val="nil"/>
              <w:left w:val="nil"/>
              <w:bottom w:val="nil"/>
              <w:right w:val="nil"/>
            </w:tcBorders>
            <w:shd w:val="clear" w:color="auto" w:fill="auto"/>
            <w:noWrap/>
            <w:tcMar>
              <w:left w:w="72" w:type="dxa"/>
              <w:right w:w="72" w:type="dxa"/>
            </w:tcMar>
            <w:vAlign w:val="bottom"/>
            <w:hideMark/>
          </w:tcPr>
          <w:p w14:paraId="61A37E6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(0.21)</w:t>
            </w:r>
          </w:p>
        </w:tc>
        <w:tc>
          <w:tcPr>
            <w:tcW w:w="0" w:type="auto"/>
            <w:tcBorders>
              <w:top w:val="nil"/>
              <w:left w:val="nil"/>
              <w:bottom w:val="nil"/>
              <w:right w:val="nil"/>
            </w:tcBorders>
            <w:shd w:val="clear" w:color="auto" w:fill="auto"/>
            <w:noWrap/>
            <w:tcMar>
              <w:left w:w="72" w:type="dxa"/>
              <w:right w:w="72" w:type="dxa"/>
            </w:tcMar>
            <w:vAlign w:val="bottom"/>
            <w:hideMark/>
          </w:tcPr>
          <w:p w14:paraId="5835C62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(0.49)</w:t>
            </w:r>
          </w:p>
        </w:tc>
        <w:tc>
          <w:tcPr>
            <w:tcW w:w="0" w:type="auto"/>
            <w:tcBorders>
              <w:top w:val="nil"/>
              <w:left w:val="nil"/>
              <w:bottom w:val="nil"/>
              <w:right w:val="nil"/>
            </w:tcBorders>
            <w:shd w:val="clear" w:color="auto" w:fill="auto"/>
            <w:noWrap/>
            <w:tcMar>
              <w:left w:w="72" w:type="dxa"/>
              <w:right w:w="72" w:type="dxa"/>
            </w:tcMar>
            <w:vAlign w:val="bottom"/>
            <w:hideMark/>
          </w:tcPr>
          <w:p w14:paraId="21FFCCF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c>
          <w:tcPr>
            <w:tcW w:w="0" w:type="auto"/>
            <w:tcBorders>
              <w:top w:val="nil"/>
              <w:left w:val="nil"/>
              <w:bottom w:val="nil"/>
              <w:right w:val="nil"/>
            </w:tcBorders>
            <w:shd w:val="clear" w:color="auto" w:fill="auto"/>
            <w:noWrap/>
            <w:tcMar>
              <w:left w:w="72" w:type="dxa"/>
              <w:right w:w="72" w:type="dxa"/>
            </w:tcMar>
            <w:vAlign w:val="bottom"/>
            <w:hideMark/>
          </w:tcPr>
          <w:p w14:paraId="6D66F0C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r>
      <w:tr w:rsidR="0089544F" w:rsidRPr="00263C50" w14:paraId="6AAA8281" w14:textId="77777777" w:rsidTr="005668E0">
        <w:trPr>
          <w:trHeight w:val="20"/>
        </w:trPr>
        <w:tc>
          <w:tcPr>
            <w:tcW w:w="0" w:type="auto"/>
            <w:tcBorders>
              <w:top w:val="nil"/>
              <w:left w:val="nil"/>
              <w:right w:val="nil"/>
            </w:tcBorders>
            <w:shd w:val="clear" w:color="auto" w:fill="auto"/>
            <w:noWrap/>
            <w:tcMar>
              <w:left w:w="72" w:type="dxa"/>
              <w:right w:w="72" w:type="dxa"/>
            </w:tcMar>
            <w:vAlign w:val="bottom"/>
            <w:hideMark/>
          </w:tcPr>
          <w:p w14:paraId="69AEE55F" w14:textId="77777777" w:rsidR="0089544F" w:rsidRPr="00263C50" w:rsidRDefault="0089544F" w:rsidP="00186583">
            <w:pPr>
              <w:rPr>
                <w:rFonts w:ascii="Times New Roman" w:hAnsi="Times New Roman" w:cs="Times New Roman"/>
                <w:color w:val="000000"/>
                <w:sz w:val="14"/>
                <w:szCs w:val="14"/>
                <w:lang w:val="en-US"/>
              </w:rPr>
            </w:pPr>
            <w:r w:rsidRPr="00263C50">
              <w:rPr>
                <w:rFonts w:ascii="Times New Roman" w:hAnsi="Times New Roman" w:cs="Times New Roman"/>
                <w:color w:val="000000"/>
                <w:sz w:val="14"/>
                <w:szCs w:val="14"/>
              </w:rPr>
              <w:t>Income</w:t>
            </w:r>
          </w:p>
        </w:tc>
        <w:tc>
          <w:tcPr>
            <w:tcW w:w="0" w:type="auto"/>
            <w:tcBorders>
              <w:top w:val="nil"/>
              <w:left w:val="nil"/>
              <w:right w:val="nil"/>
            </w:tcBorders>
            <w:vAlign w:val="bottom"/>
          </w:tcPr>
          <w:p w14:paraId="75A2639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0.03</w:t>
            </w:r>
          </w:p>
        </w:tc>
        <w:tc>
          <w:tcPr>
            <w:tcW w:w="0" w:type="auto"/>
            <w:tcBorders>
              <w:top w:val="nil"/>
              <w:left w:val="nil"/>
              <w:right w:val="nil"/>
            </w:tcBorders>
            <w:vAlign w:val="bottom"/>
          </w:tcPr>
          <w:p w14:paraId="71D3C89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0.02</w:t>
            </w:r>
          </w:p>
        </w:tc>
        <w:tc>
          <w:tcPr>
            <w:tcW w:w="0" w:type="auto"/>
            <w:tcBorders>
              <w:top w:val="nil"/>
              <w:left w:val="nil"/>
              <w:right w:val="nil"/>
            </w:tcBorders>
            <w:shd w:val="clear" w:color="auto" w:fill="auto"/>
            <w:noWrap/>
            <w:tcMar>
              <w:left w:w="72" w:type="dxa"/>
              <w:right w:w="72" w:type="dxa"/>
            </w:tcMar>
            <w:vAlign w:val="bottom"/>
            <w:hideMark/>
          </w:tcPr>
          <w:p w14:paraId="64C3F56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-0.01</w:t>
            </w:r>
          </w:p>
        </w:tc>
        <w:tc>
          <w:tcPr>
            <w:tcW w:w="0" w:type="auto"/>
            <w:tcBorders>
              <w:top w:val="nil"/>
              <w:left w:val="nil"/>
              <w:right w:val="nil"/>
            </w:tcBorders>
            <w:shd w:val="clear" w:color="auto" w:fill="auto"/>
            <w:noWrap/>
            <w:tcMar>
              <w:left w:w="72" w:type="dxa"/>
              <w:right w:w="72" w:type="dxa"/>
            </w:tcMar>
            <w:vAlign w:val="bottom"/>
            <w:hideMark/>
          </w:tcPr>
          <w:p w14:paraId="4CA9ECB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0.08</w:t>
            </w:r>
          </w:p>
        </w:tc>
        <w:tc>
          <w:tcPr>
            <w:tcW w:w="0" w:type="auto"/>
            <w:tcBorders>
              <w:top w:val="nil"/>
              <w:left w:val="nil"/>
              <w:right w:val="nil"/>
            </w:tcBorders>
            <w:shd w:val="clear" w:color="auto" w:fill="auto"/>
            <w:noWrap/>
            <w:tcMar>
              <w:left w:w="72" w:type="dxa"/>
              <w:right w:w="72" w:type="dxa"/>
            </w:tcMar>
            <w:vAlign w:val="bottom"/>
            <w:hideMark/>
          </w:tcPr>
          <w:p w14:paraId="2DEC390C"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-0.09</w:t>
            </w:r>
          </w:p>
        </w:tc>
        <w:tc>
          <w:tcPr>
            <w:tcW w:w="0" w:type="auto"/>
            <w:tcBorders>
              <w:top w:val="nil"/>
              <w:left w:val="nil"/>
              <w:right w:val="nil"/>
            </w:tcBorders>
            <w:shd w:val="clear" w:color="auto" w:fill="auto"/>
            <w:noWrap/>
            <w:tcMar>
              <w:left w:w="72" w:type="dxa"/>
              <w:right w:w="72" w:type="dxa"/>
            </w:tcMar>
            <w:vAlign w:val="bottom"/>
            <w:hideMark/>
          </w:tcPr>
          <w:p w14:paraId="5A555D25"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0.12</w:t>
            </w:r>
          </w:p>
        </w:tc>
        <w:tc>
          <w:tcPr>
            <w:tcW w:w="0" w:type="auto"/>
            <w:tcBorders>
              <w:top w:val="nil"/>
              <w:left w:val="nil"/>
              <w:right w:val="nil"/>
            </w:tcBorders>
            <w:shd w:val="clear" w:color="auto" w:fill="auto"/>
            <w:noWrap/>
            <w:tcMar>
              <w:left w:w="72" w:type="dxa"/>
              <w:right w:w="72" w:type="dxa"/>
            </w:tcMar>
            <w:vAlign w:val="bottom"/>
            <w:hideMark/>
          </w:tcPr>
          <w:p w14:paraId="17E341D7"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-0.01</w:t>
            </w:r>
          </w:p>
        </w:tc>
        <w:tc>
          <w:tcPr>
            <w:tcW w:w="0" w:type="auto"/>
            <w:tcBorders>
              <w:top w:val="nil"/>
              <w:left w:val="nil"/>
              <w:right w:val="nil"/>
            </w:tcBorders>
            <w:shd w:val="clear" w:color="auto" w:fill="auto"/>
            <w:noWrap/>
            <w:tcMar>
              <w:left w:w="72" w:type="dxa"/>
              <w:right w:w="72" w:type="dxa"/>
            </w:tcMar>
            <w:vAlign w:val="bottom"/>
            <w:hideMark/>
          </w:tcPr>
          <w:p w14:paraId="04619014"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-0.01</w:t>
            </w:r>
          </w:p>
        </w:tc>
        <w:tc>
          <w:tcPr>
            <w:tcW w:w="0" w:type="auto"/>
            <w:tcBorders>
              <w:top w:val="nil"/>
              <w:left w:val="nil"/>
              <w:right w:val="nil"/>
            </w:tcBorders>
            <w:shd w:val="clear" w:color="auto" w:fill="auto"/>
            <w:noWrap/>
            <w:tcMar>
              <w:left w:w="72" w:type="dxa"/>
              <w:right w:w="72" w:type="dxa"/>
            </w:tcMar>
            <w:vAlign w:val="bottom"/>
            <w:hideMark/>
          </w:tcPr>
          <w:p w14:paraId="2DE100D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0.04</w:t>
            </w:r>
          </w:p>
        </w:tc>
        <w:tc>
          <w:tcPr>
            <w:tcW w:w="0" w:type="auto"/>
            <w:tcBorders>
              <w:top w:val="nil"/>
              <w:left w:val="nil"/>
              <w:right w:val="nil"/>
            </w:tcBorders>
            <w:shd w:val="clear" w:color="auto" w:fill="auto"/>
            <w:noWrap/>
            <w:tcMar>
              <w:left w:w="72" w:type="dxa"/>
              <w:right w:w="72" w:type="dxa"/>
            </w:tcMar>
            <w:vAlign w:val="bottom"/>
            <w:hideMark/>
          </w:tcPr>
          <w:p w14:paraId="2BEB27E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0.03</w:t>
            </w:r>
          </w:p>
        </w:tc>
        <w:tc>
          <w:tcPr>
            <w:tcW w:w="0" w:type="auto"/>
            <w:tcBorders>
              <w:top w:val="nil"/>
              <w:left w:val="nil"/>
              <w:right w:val="nil"/>
            </w:tcBorders>
            <w:shd w:val="clear" w:color="auto" w:fill="auto"/>
            <w:noWrap/>
            <w:tcMar>
              <w:left w:w="72" w:type="dxa"/>
              <w:right w:w="72" w:type="dxa"/>
            </w:tcMar>
            <w:vAlign w:val="bottom"/>
            <w:hideMark/>
          </w:tcPr>
          <w:p w14:paraId="7767A2C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0.04</w:t>
            </w:r>
          </w:p>
        </w:tc>
        <w:tc>
          <w:tcPr>
            <w:tcW w:w="0" w:type="auto"/>
            <w:tcBorders>
              <w:top w:val="nil"/>
              <w:left w:val="nil"/>
              <w:right w:val="nil"/>
            </w:tcBorders>
            <w:vAlign w:val="bottom"/>
          </w:tcPr>
          <w:p w14:paraId="5DDCE43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0.01</w:t>
            </w:r>
          </w:p>
        </w:tc>
        <w:tc>
          <w:tcPr>
            <w:tcW w:w="0" w:type="auto"/>
            <w:tcBorders>
              <w:top w:val="nil"/>
              <w:left w:val="nil"/>
              <w:right w:val="nil"/>
            </w:tcBorders>
            <w:shd w:val="clear" w:color="auto" w:fill="auto"/>
            <w:noWrap/>
            <w:tcMar>
              <w:left w:w="72" w:type="dxa"/>
              <w:right w:w="72" w:type="dxa"/>
            </w:tcMar>
            <w:vAlign w:val="bottom"/>
            <w:hideMark/>
          </w:tcPr>
          <w:p w14:paraId="7E2CF5A9"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0.01</w:t>
            </w:r>
          </w:p>
        </w:tc>
        <w:tc>
          <w:tcPr>
            <w:tcW w:w="0" w:type="auto"/>
            <w:tcBorders>
              <w:top w:val="nil"/>
              <w:left w:val="nil"/>
              <w:right w:val="nil"/>
            </w:tcBorders>
            <w:shd w:val="clear" w:color="auto" w:fill="auto"/>
            <w:noWrap/>
            <w:tcMar>
              <w:left w:w="72" w:type="dxa"/>
              <w:right w:w="72" w:type="dxa"/>
            </w:tcMar>
            <w:vAlign w:val="bottom"/>
            <w:hideMark/>
          </w:tcPr>
          <w:p w14:paraId="1DD95E1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-0.17</w:t>
            </w:r>
          </w:p>
        </w:tc>
        <w:tc>
          <w:tcPr>
            <w:tcW w:w="0" w:type="auto"/>
            <w:tcBorders>
              <w:top w:val="nil"/>
              <w:left w:val="nil"/>
              <w:right w:val="nil"/>
            </w:tcBorders>
            <w:shd w:val="clear" w:color="auto" w:fill="auto"/>
            <w:noWrap/>
            <w:tcMar>
              <w:left w:w="72" w:type="dxa"/>
              <w:right w:w="72" w:type="dxa"/>
            </w:tcMar>
            <w:vAlign w:val="bottom"/>
            <w:hideMark/>
          </w:tcPr>
          <w:p w14:paraId="36FC52FB"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0.19</w:t>
            </w:r>
          </w:p>
        </w:tc>
        <w:tc>
          <w:tcPr>
            <w:tcW w:w="0" w:type="auto"/>
            <w:tcBorders>
              <w:top w:val="nil"/>
              <w:left w:val="nil"/>
              <w:right w:val="nil"/>
            </w:tcBorders>
            <w:shd w:val="clear" w:color="auto" w:fill="auto"/>
            <w:noWrap/>
            <w:tcMar>
              <w:left w:w="72" w:type="dxa"/>
              <w:right w:w="72" w:type="dxa"/>
            </w:tcMar>
            <w:vAlign w:val="bottom"/>
            <w:hideMark/>
          </w:tcPr>
          <w:p w14:paraId="090835D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0.19</w:t>
            </w:r>
          </w:p>
        </w:tc>
        <w:tc>
          <w:tcPr>
            <w:tcW w:w="0" w:type="auto"/>
            <w:tcBorders>
              <w:top w:val="nil"/>
              <w:left w:val="nil"/>
              <w:right w:val="nil"/>
            </w:tcBorders>
            <w:shd w:val="clear" w:color="auto" w:fill="auto"/>
            <w:noWrap/>
            <w:tcMar>
              <w:left w:w="72" w:type="dxa"/>
              <w:right w:w="72" w:type="dxa"/>
            </w:tcMar>
            <w:vAlign w:val="bottom"/>
            <w:hideMark/>
          </w:tcPr>
          <w:p w14:paraId="1B07082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-0.06</w:t>
            </w:r>
          </w:p>
        </w:tc>
        <w:tc>
          <w:tcPr>
            <w:tcW w:w="0" w:type="auto"/>
            <w:tcBorders>
              <w:top w:val="nil"/>
              <w:left w:val="nil"/>
              <w:right w:val="nil"/>
            </w:tcBorders>
            <w:shd w:val="clear" w:color="auto" w:fill="auto"/>
            <w:noWrap/>
            <w:tcMar>
              <w:left w:w="72" w:type="dxa"/>
              <w:right w:w="72" w:type="dxa"/>
            </w:tcMar>
            <w:vAlign w:val="bottom"/>
            <w:hideMark/>
          </w:tcPr>
          <w:p w14:paraId="77CF66D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1.00</w:t>
            </w:r>
          </w:p>
        </w:tc>
      </w:tr>
      <w:tr w:rsidR="0089544F" w:rsidRPr="00263C50" w14:paraId="591A9FD8" w14:textId="77777777" w:rsidTr="005668E0">
        <w:trPr>
          <w:trHeight w:val="20"/>
        </w:trPr>
        <w:tc>
          <w:tcPr>
            <w:tcW w:w="0" w:type="auto"/>
            <w:tcBorders>
              <w:top w:val="nil"/>
              <w:left w:val="nil"/>
              <w:bottom w:val="single" w:sz="4" w:space="0" w:color="auto"/>
              <w:right w:val="nil"/>
            </w:tcBorders>
            <w:shd w:val="clear" w:color="auto" w:fill="auto"/>
            <w:noWrap/>
            <w:tcMar>
              <w:left w:w="72" w:type="dxa"/>
              <w:right w:w="72" w:type="dxa"/>
            </w:tcMar>
            <w:vAlign w:val="bottom"/>
            <w:hideMark/>
          </w:tcPr>
          <w:p w14:paraId="2A5D74B1" w14:textId="77777777" w:rsidR="0089544F" w:rsidRPr="00263C50" w:rsidRDefault="0089544F" w:rsidP="00186583">
            <w:pPr>
              <w:rPr>
                <w:rFonts w:ascii="Times New Roman" w:eastAsia="Times New Roman" w:hAnsi="Times New Roman" w:cs="Times New Roman"/>
                <w:color w:val="000000"/>
                <w:sz w:val="14"/>
                <w:szCs w:val="14"/>
                <w:lang w:val="en-US" w:eastAsia="zh-TW"/>
              </w:rPr>
            </w:pPr>
          </w:p>
        </w:tc>
        <w:tc>
          <w:tcPr>
            <w:tcW w:w="0" w:type="auto"/>
            <w:tcBorders>
              <w:top w:val="nil"/>
              <w:left w:val="nil"/>
              <w:bottom w:val="single" w:sz="4" w:space="0" w:color="auto"/>
              <w:right w:val="nil"/>
            </w:tcBorders>
            <w:vAlign w:val="bottom"/>
          </w:tcPr>
          <w:p w14:paraId="5E527E5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(0.73)</w:t>
            </w:r>
          </w:p>
        </w:tc>
        <w:tc>
          <w:tcPr>
            <w:tcW w:w="0" w:type="auto"/>
            <w:tcBorders>
              <w:top w:val="nil"/>
              <w:left w:val="nil"/>
              <w:bottom w:val="single" w:sz="4" w:space="0" w:color="auto"/>
              <w:right w:val="nil"/>
            </w:tcBorders>
            <w:vAlign w:val="bottom"/>
          </w:tcPr>
          <w:p w14:paraId="1DC6D4B6"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(0.84)</w:t>
            </w:r>
          </w:p>
        </w:tc>
        <w:tc>
          <w:tcPr>
            <w:tcW w:w="0" w:type="auto"/>
            <w:tcBorders>
              <w:top w:val="nil"/>
              <w:left w:val="nil"/>
              <w:bottom w:val="single" w:sz="4" w:space="0" w:color="auto"/>
              <w:right w:val="nil"/>
            </w:tcBorders>
            <w:shd w:val="clear" w:color="auto" w:fill="auto"/>
            <w:noWrap/>
            <w:tcMar>
              <w:left w:w="72" w:type="dxa"/>
              <w:right w:w="72" w:type="dxa"/>
            </w:tcMar>
            <w:vAlign w:val="bottom"/>
            <w:hideMark/>
          </w:tcPr>
          <w:p w14:paraId="6FDB078E"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(0.88)</w:t>
            </w:r>
          </w:p>
        </w:tc>
        <w:tc>
          <w:tcPr>
            <w:tcW w:w="0" w:type="auto"/>
            <w:tcBorders>
              <w:top w:val="nil"/>
              <w:left w:val="nil"/>
              <w:bottom w:val="single" w:sz="4" w:space="0" w:color="auto"/>
              <w:right w:val="nil"/>
            </w:tcBorders>
            <w:shd w:val="clear" w:color="auto" w:fill="auto"/>
            <w:noWrap/>
            <w:tcMar>
              <w:left w:w="72" w:type="dxa"/>
              <w:right w:w="72" w:type="dxa"/>
            </w:tcMar>
            <w:vAlign w:val="bottom"/>
            <w:hideMark/>
          </w:tcPr>
          <w:p w14:paraId="40BDD0B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(0.35)</w:t>
            </w:r>
          </w:p>
        </w:tc>
        <w:tc>
          <w:tcPr>
            <w:tcW w:w="0" w:type="auto"/>
            <w:tcBorders>
              <w:top w:val="nil"/>
              <w:left w:val="nil"/>
              <w:bottom w:val="single" w:sz="4" w:space="0" w:color="auto"/>
              <w:right w:val="nil"/>
            </w:tcBorders>
            <w:shd w:val="clear" w:color="auto" w:fill="auto"/>
            <w:noWrap/>
            <w:tcMar>
              <w:left w:w="72" w:type="dxa"/>
              <w:right w:w="72" w:type="dxa"/>
            </w:tcMar>
            <w:vAlign w:val="bottom"/>
            <w:hideMark/>
          </w:tcPr>
          <w:p w14:paraId="4CFBE4C0"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(0.30)</w:t>
            </w:r>
          </w:p>
        </w:tc>
        <w:tc>
          <w:tcPr>
            <w:tcW w:w="0" w:type="auto"/>
            <w:tcBorders>
              <w:top w:val="nil"/>
              <w:left w:val="nil"/>
              <w:bottom w:val="single" w:sz="4" w:space="0" w:color="auto"/>
              <w:right w:val="nil"/>
            </w:tcBorders>
            <w:shd w:val="clear" w:color="auto" w:fill="auto"/>
            <w:noWrap/>
            <w:tcMar>
              <w:left w:w="72" w:type="dxa"/>
              <w:right w:w="72" w:type="dxa"/>
            </w:tcMar>
            <w:vAlign w:val="bottom"/>
            <w:hideMark/>
          </w:tcPr>
          <w:p w14:paraId="76837A6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(0.15)</w:t>
            </w:r>
          </w:p>
        </w:tc>
        <w:tc>
          <w:tcPr>
            <w:tcW w:w="0" w:type="auto"/>
            <w:tcBorders>
              <w:top w:val="nil"/>
              <w:left w:val="nil"/>
              <w:bottom w:val="single" w:sz="4" w:space="0" w:color="auto"/>
              <w:right w:val="nil"/>
            </w:tcBorders>
            <w:shd w:val="clear" w:color="auto" w:fill="auto"/>
            <w:noWrap/>
            <w:tcMar>
              <w:left w:w="72" w:type="dxa"/>
              <w:right w:w="72" w:type="dxa"/>
            </w:tcMar>
            <w:vAlign w:val="bottom"/>
            <w:hideMark/>
          </w:tcPr>
          <w:p w14:paraId="2CFBCDC3"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(0.88)</w:t>
            </w:r>
          </w:p>
        </w:tc>
        <w:tc>
          <w:tcPr>
            <w:tcW w:w="0" w:type="auto"/>
            <w:tcBorders>
              <w:top w:val="nil"/>
              <w:left w:val="nil"/>
              <w:bottom w:val="single" w:sz="4" w:space="0" w:color="auto"/>
              <w:right w:val="nil"/>
            </w:tcBorders>
            <w:shd w:val="clear" w:color="auto" w:fill="auto"/>
            <w:noWrap/>
            <w:tcMar>
              <w:left w:w="72" w:type="dxa"/>
              <w:right w:w="72" w:type="dxa"/>
            </w:tcMar>
            <w:vAlign w:val="bottom"/>
            <w:hideMark/>
          </w:tcPr>
          <w:p w14:paraId="53116D8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(0.93)</w:t>
            </w:r>
          </w:p>
        </w:tc>
        <w:tc>
          <w:tcPr>
            <w:tcW w:w="0" w:type="auto"/>
            <w:tcBorders>
              <w:top w:val="nil"/>
              <w:left w:val="nil"/>
              <w:bottom w:val="single" w:sz="4" w:space="0" w:color="auto"/>
              <w:right w:val="nil"/>
            </w:tcBorders>
            <w:shd w:val="clear" w:color="auto" w:fill="auto"/>
            <w:noWrap/>
            <w:tcMar>
              <w:left w:w="72" w:type="dxa"/>
              <w:right w:w="72" w:type="dxa"/>
            </w:tcMar>
            <w:vAlign w:val="bottom"/>
            <w:hideMark/>
          </w:tcPr>
          <w:p w14:paraId="5EA4D7D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(0.61)</w:t>
            </w:r>
          </w:p>
        </w:tc>
        <w:tc>
          <w:tcPr>
            <w:tcW w:w="0" w:type="auto"/>
            <w:tcBorders>
              <w:top w:val="nil"/>
              <w:left w:val="nil"/>
              <w:bottom w:val="single" w:sz="4" w:space="0" w:color="auto"/>
              <w:right w:val="nil"/>
            </w:tcBorders>
            <w:shd w:val="clear" w:color="auto" w:fill="auto"/>
            <w:noWrap/>
            <w:tcMar>
              <w:left w:w="72" w:type="dxa"/>
              <w:right w:w="72" w:type="dxa"/>
            </w:tcMar>
            <w:vAlign w:val="bottom"/>
            <w:hideMark/>
          </w:tcPr>
          <w:p w14:paraId="74FA667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(0.73)</w:t>
            </w:r>
          </w:p>
        </w:tc>
        <w:tc>
          <w:tcPr>
            <w:tcW w:w="0" w:type="auto"/>
            <w:tcBorders>
              <w:top w:val="nil"/>
              <w:left w:val="nil"/>
              <w:bottom w:val="single" w:sz="4" w:space="0" w:color="auto"/>
              <w:right w:val="nil"/>
            </w:tcBorders>
            <w:shd w:val="clear" w:color="auto" w:fill="auto"/>
            <w:noWrap/>
            <w:tcMar>
              <w:left w:w="72" w:type="dxa"/>
              <w:right w:w="72" w:type="dxa"/>
            </w:tcMar>
            <w:vAlign w:val="bottom"/>
            <w:hideMark/>
          </w:tcPr>
          <w:p w14:paraId="4538F47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(0.60)</w:t>
            </w:r>
          </w:p>
        </w:tc>
        <w:tc>
          <w:tcPr>
            <w:tcW w:w="0" w:type="auto"/>
            <w:tcBorders>
              <w:top w:val="nil"/>
              <w:left w:val="nil"/>
              <w:bottom w:val="single" w:sz="4" w:space="0" w:color="auto"/>
              <w:right w:val="nil"/>
            </w:tcBorders>
            <w:vAlign w:val="bottom"/>
          </w:tcPr>
          <w:p w14:paraId="35082791"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(0.94)</w:t>
            </w:r>
          </w:p>
        </w:tc>
        <w:tc>
          <w:tcPr>
            <w:tcW w:w="0" w:type="auto"/>
            <w:tcBorders>
              <w:top w:val="nil"/>
              <w:left w:val="nil"/>
              <w:bottom w:val="single" w:sz="4" w:space="0" w:color="auto"/>
              <w:right w:val="nil"/>
            </w:tcBorders>
            <w:shd w:val="clear" w:color="auto" w:fill="auto"/>
            <w:noWrap/>
            <w:tcMar>
              <w:left w:w="72" w:type="dxa"/>
              <w:right w:w="72" w:type="dxa"/>
            </w:tcMar>
            <w:vAlign w:val="bottom"/>
            <w:hideMark/>
          </w:tcPr>
          <w:p w14:paraId="14E2BC72"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(0.89)</w:t>
            </w:r>
          </w:p>
        </w:tc>
        <w:tc>
          <w:tcPr>
            <w:tcW w:w="0" w:type="auto"/>
            <w:tcBorders>
              <w:top w:val="nil"/>
              <w:left w:val="nil"/>
              <w:bottom w:val="single" w:sz="4" w:space="0" w:color="auto"/>
              <w:right w:val="nil"/>
            </w:tcBorders>
            <w:shd w:val="clear" w:color="auto" w:fill="auto"/>
            <w:noWrap/>
            <w:tcMar>
              <w:left w:w="72" w:type="dxa"/>
              <w:right w:w="72" w:type="dxa"/>
            </w:tcMar>
            <w:vAlign w:val="bottom"/>
            <w:hideMark/>
          </w:tcPr>
          <w:p w14:paraId="596421E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(0.04)</w:t>
            </w:r>
          </w:p>
        </w:tc>
        <w:tc>
          <w:tcPr>
            <w:tcW w:w="0" w:type="auto"/>
            <w:tcBorders>
              <w:top w:val="nil"/>
              <w:left w:val="nil"/>
              <w:bottom w:val="single" w:sz="4" w:space="0" w:color="auto"/>
              <w:right w:val="nil"/>
            </w:tcBorders>
            <w:shd w:val="clear" w:color="auto" w:fill="auto"/>
            <w:noWrap/>
            <w:tcMar>
              <w:left w:w="72" w:type="dxa"/>
              <w:right w:w="72" w:type="dxa"/>
            </w:tcMar>
            <w:vAlign w:val="bottom"/>
            <w:hideMark/>
          </w:tcPr>
          <w:p w14:paraId="717669FF"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(0.02)</w:t>
            </w:r>
          </w:p>
        </w:tc>
        <w:tc>
          <w:tcPr>
            <w:tcW w:w="0" w:type="auto"/>
            <w:tcBorders>
              <w:top w:val="nil"/>
              <w:left w:val="nil"/>
              <w:bottom w:val="single" w:sz="4" w:space="0" w:color="auto"/>
              <w:right w:val="nil"/>
            </w:tcBorders>
            <w:shd w:val="clear" w:color="auto" w:fill="auto"/>
            <w:noWrap/>
            <w:tcMar>
              <w:left w:w="72" w:type="dxa"/>
              <w:right w:w="72" w:type="dxa"/>
            </w:tcMar>
            <w:vAlign w:val="bottom"/>
            <w:hideMark/>
          </w:tcPr>
          <w:p w14:paraId="66CD40DD"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(0.02)</w:t>
            </w:r>
          </w:p>
        </w:tc>
        <w:tc>
          <w:tcPr>
            <w:tcW w:w="0" w:type="auto"/>
            <w:tcBorders>
              <w:top w:val="nil"/>
              <w:left w:val="nil"/>
              <w:bottom w:val="single" w:sz="4" w:space="0" w:color="auto"/>
              <w:right w:val="nil"/>
            </w:tcBorders>
            <w:shd w:val="clear" w:color="auto" w:fill="auto"/>
            <w:noWrap/>
            <w:tcMar>
              <w:left w:w="72" w:type="dxa"/>
              <w:right w:w="72" w:type="dxa"/>
            </w:tcMar>
            <w:vAlign w:val="bottom"/>
            <w:hideMark/>
          </w:tcPr>
          <w:p w14:paraId="6B3E4768"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r w:rsidRPr="00263C50">
              <w:rPr>
                <w:rFonts w:ascii="Times New Roman" w:hAnsi="Times New Roman" w:cs="Times New Roman"/>
                <w:color w:val="000000"/>
                <w:sz w:val="14"/>
                <w:szCs w:val="14"/>
              </w:rPr>
              <w:t>(0.50)</w:t>
            </w:r>
          </w:p>
        </w:tc>
        <w:tc>
          <w:tcPr>
            <w:tcW w:w="0" w:type="auto"/>
            <w:tcBorders>
              <w:top w:val="nil"/>
              <w:left w:val="nil"/>
              <w:bottom w:val="single" w:sz="4" w:space="0" w:color="auto"/>
              <w:right w:val="nil"/>
            </w:tcBorders>
            <w:shd w:val="clear" w:color="auto" w:fill="auto"/>
            <w:noWrap/>
            <w:tcMar>
              <w:left w:w="72" w:type="dxa"/>
              <w:right w:w="72" w:type="dxa"/>
            </w:tcMar>
            <w:vAlign w:val="bottom"/>
            <w:hideMark/>
          </w:tcPr>
          <w:p w14:paraId="4F465AEA" w14:textId="77777777" w:rsidR="0089544F" w:rsidRPr="00263C50" w:rsidRDefault="0089544F" w:rsidP="00186583">
            <w:pPr>
              <w:jc w:val="center"/>
              <w:rPr>
                <w:rFonts w:ascii="Times New Roman" w:eastAsia="Times New Roman" w:hAnsi="Times New Roman" w:cs="Times New Roman"/>
                <w:color w:val="000000"/>
                <w:sz w:val="14"/>
                <w:szCs w:val="14"/>
                <w:lang w:val="en-US" w:eastAsia="zh-TW"/>
              </w:rPr>
            </w:pPr>
          </w:p>
        </w:tc>
      </w:tr>
    </w:tbl>
    <w:p w14:paraId="53B60C87" w14:textId="27134179" w:rsidR="00B67B6F" w:rsidRPr="00796D87" w:rsidRDefault="0089544F" w:rsidP="00186583">
      <w:pPr>
        <w:rPr>
          <w:rFonts w:ascii="Times New Roman" w:hAnsi="Times New Roman" w:cs="Times New Roman"/>
          <w:sz w:val="20"/>
          <w:szCs w:val="20"/>
          <w:lang w:val="en-US"/>
        </w:rPr>
      </w:pPr>
      <w:r w:rsidRPr="00796D87">
        <w:rPr>
          <w:rFonts w:ascii="Times New Roman" w:hAnsi="Times New Roman" w:cs="Times New Roman"/>
          <w:sz w:val="20"/>
          <w:szCs w:val="20"/>
          <w:lang w:val="en-US"/>
        </w:rPr>
        <w:t>Note: p-values in parentheses.</w:t>
      </w:r>
    </w:p>
    <w:p w14:paraId="4E5DAD36" w14:textId="7DB8DF93" w:rsidR="001918AF" w:rsidRPr="00796D87" w:rsidRDefault="001918AF" w:rsidP="00186583">
      <w:pPr>
        <w:rPr>
          <w:rFonts w:ascii="Times New Roman" w:hAnsi="Times New Roman" w:cs="Times New Roman"/>
          <w:sz w:val="20"/>
          <w:szCs w:val="20"/>
          <w:lang w:val="en-US"/>
        </w:rPr>
      </w:pPr>
    </w:p>
    <w:p w14:paraId="17F41538" w14:textId="659A1951" w:rsidR="00B67B6F" w:rsidRPr="00796D87" w:rsidRDefault="00B67B6F" w:rsidP="00186583">
      <w:pPr>
        <w:rPr>
          <w:rFonts w:ascii="Times New Roman" w:hAnsi="Times New Roman" w:cs="Times New Roman"/>
          <w:sz w:val="20"/>
          <w:szCs w:val="20"/>
          <w:lang w:val="en-US"/>
        </w:rPr>
        <w:sectPr w:rsidR="00B67B6F" w:rsidRPr="00796D87" w:rsidSect="00CA4B1F">
          <w:pgSz w:w="15840" w:h="12240" w:orient="landscape"/>
          <w:pgMar w:top="1440" w:right="1440" w:bottom="1440" w:left="1440" w:header="720" w:footer="720" w:gutter="0"/>
          <w:cols w:space="720"/>
          <w:docGrid w:linePitch="360"/>
        </w:sectPr>
      </w:pPr>
    </w:p>
    <w:p w14:paraId="7D06B6D3" w14:textId="77777777" w:rsidR="001918AF" w:rsidRPr="00263C50" w:rsidRDefault="001918AF" w:rsidP="00186583">
      <w:pPr>
        <w:rPr>
          <w:rFonts w:ascii="Times New Roman" w:hAnsi="Times New Roman" w:cs="Times New Roman"/>
          <w:sz w:val="20"/>
          <w:szCs w:val="20"/>
          <w:lang w:val="en-US"/>
        </w:rPr>
      </w:pPr>
      <w:r w:rsidRPr="00263C50">
        <w:rPr>
          <w:rFonts w:ascii="Times New Roman" w:hAnsi="Times New Roman" w:cs="Times New Roman"/>
          <w:b/>
          <w:sz w:val="20"/>
          <w:szCs w:val="20"/>
          <w:lang w:val="en-US"/>
        </w:rPr>
        <w:lastRenderedPageBreak/>
        <w:t>Table 4 Financial literacy and tax literacy</w:t>
      </w:r>
    </w:p>
    <w:p w14:paraId="3BE4B587" w14:textId="77777777" w:rsidR="001918AF" w:rsidRPr="00263C50" w:rsidRDefault="001918AF" w:rsidP="00263C50">
      <w:pPr>
        <w:rPr>
          <w:rFonts w:ascii="Times New Roman" w:hAnsi="Times New Roman" w:cs="Times New Roman"/>
          <w:sz w:val="20"/>
          <w:szCs w:val="20"/>
          <w:lang w:val="en-US"/>
        </w:rPr>
      </w:pPr>
    </w:p>
    <w:tbl>
      <w:tblPr>
        <w:tblW w:w="7520" w:type="dxa"/>
        <w:jc w:val="center"/>
        <w:tblLook w:val="04A0" w:firstRow="1" w:lastRow="0" w:firstColumn="1" w:lastColumn="0" w:noHBand="0" w:noVBand="1"/>
      </w:tblPr>
      <w:tblGrid>
        <w:gridCol w:w="3620"/>
        <w:gridCol w:w="1300"/>
        <w:gridCol w:w="1300"/>
        <w:gridCol w:w="1300"/>
      </w:tblGrid>
      <w:tr w:rsidR="0089544F" w:rsidRPr="00263C50" w14:paraId="0B2FF11E" w14:textId="77777777" w:rsidTr="005668E0">
        <w:trPr>
          <w:trHeight w:val="432"/>
          <w:jc w:val="center"/>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B9E70" w14:textId="77777777" w:rsidR="0089544F" w:rsidRPr="00263C50" w:rsidRDefault="0089544F" w:rsidP="00186583">
            <w:pPr>
              <w:rPr>
                <w:rFonts w:ascii="Times New Roman" w:eastAsia="Times New Roman" w:hAnsi="Times New Roman" w:cs="Times New Roman"/>
                <w:color w:val="000000"/>
                <w:sz w:val="20"/>
                <w:szCs w:val="20"/>
                <w:lang w:val="en-US"/>
              </w:rPr>
            </w:pPr>
          </w:p>
        </w:tc>
        <w:tc>
          <w:tcPr>
            <w:tcW w:w="1300" w:type="dxa"/>
            <w:tcBorders>
              <w:top w:val="single" w:sz="4" w:space="0" w:color="auto"/>
              <w:left w:val="nil"/>
              <w:bottom w:val="single" w:sz="4" w:space="0" w:color="auto"/>
              <w:right w:val="single" w:sz="4" w:space="0" w:color="auto"/>
            </w:tcBorders>
            <w:shd w:val="clear" w:color="auto" w:fill="auto"/>
            <w:vAlign w:val="center"/>
          </w:tcPr>
          <w:p w14:paraId="7889FDCF"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Mean</w:t>
            </w:r>
          </w:p>
        </w:tc>
        <w:tc>
          <w:tcPr>
            <w:tcW w:w="1300" w:type="dxa"/>
            <w:tcBorders>
              <w:top w:val="single" w:sz="4" w:space="0" w:color="auto"/>
              <w:left w:val="nil"/>
              <w:bottom w:val="single" w:sz="4" w:space="0" w:color="auto"/>
              <w:right w:val="single" w:sz="4" w:space="0" w:color="auto"/>
            </w:tcBorders>
            <w:shd w:val="clear" w:color="auto" w:fill="auto"/>
            <w:vAlign w:val="center"/>
          </w:tcPr>
          <w:p w14:paraId="60DAE735"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Median</w:t>
            </w:r>
          </w:p>
        </w:tc>
        <w:tc>
          <w:tcPr>
            <w:tcW w:w="1300" w:type="dxa"/>
            <w:tcBorders>
              <w:top w:val="single" w:sz="4" w:space="0" w:color="auto"/>
              <w:left w:val="nil"/>
              <w:bottom w:val="single" w:sz="4" w:space="0" w:color="auto"/>
              <w:right w:val="single" w:sz="4" w:space="0" w:color="auto"/>
            </w:tcBorders>
            <w:shd w:val="clear" w:color="auto" w:fill="auto"/>
            <w:vAlign w:val="center"/>
          </w:tcPr>
          <w:p w14:paraId="48E4C394"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Standard Deviation</w:t>
            </w:r>
          </w:p>
        </w:tc>
      </w:tr>
      <w:tr w:rsidR="0089544F" w:rsidRPr="00263C50" w14:paraId="632E4C43" w14:textId="77777777" w:rsidTr="005668E0">
        <w:trPr>
          <w:trHeight w:val="432"/>
          <w:jc w:val="center"/>
        </w:trPr>
        <w:tc>
          <w:tcPr>
            <w:tcW w:w="3620" w:type="dxa"/>
            <w:tcBorders>
              <w:top w:val="nil"/>
              <w:left w:val="single" w:sz="4" w:space="0" w:color="auto"/>
              <w:bottom w:val="single" w:sz="4" w:space="0" w:color="auto"/>
              <w:right w:val="single" w:sz="4" w:space="0" w:color="auto"/>
            </w:tcBorders>
            <w:shd w:val="clear" w:color="auto" w:fill="auto"/>
            <w:noWrap/>
            <w:vAlign w:val="center"/>
          </w:tcPr>
          <w:p w14:paraId="4941B209" w14:textId="77777777" w:rsidR="0089544F" w:rsidRPr="00263C50" w:rsidRDefault="0089544F" w:rsidP="00186583">
            <w:pP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Financial literacy score</w:t>
            </w:r>
          </w:p>
        </w:tc>
        <w:tc>
          <w:tcPr>
            <w:tcW w:w="1300" w:type="dxa"/>
            <w:tcBorders>
              <w:top w:val="nil"/>
              <w:left w:val="nil"/>
              <w:bottom w:val="single" w:sz="4" w:space="0" w:color="auto"/>
              <w:right w:val="single" w:sz="4" w:space="0" w:color="auto"/>
            </w:tcBorders>
            <w:shd w:val="clear" w:color="auto" w:fill="auto"/>
            <w:noWrap/>
            <w:vAlign w:val="center"/>
          </w:tcPr>
          <w:p w14:paraId="7857EE90"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0.69</w:t>
            </w:r>
          </w:p>
        </w:tc>
        <w:tc>
          <w:tcPr>
            <w:tcW w:w="1300" w:type="dxa"/>
            <w:tcBorders>
              <w:top w:val="nil"/>
              <w:left w:val="nil"/>
              <w:bottom w:val="single" w:sz="4" w:space="0" w:color="auto"/>
              <w:right w:val="single" w:sz="4" w:space="0" w:color="auto"/>
            </w:tcBorders>
            <w:shd w:val="clear" w:color="auto" w:fill="auto"/>
            <w:noWrap/>
            <w:vAlign w:val="center"/>
          </w:tcPr>
          <w:p w14:paraId="60680EB6"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0.80</w:t>
            </w:r>
          </w:p>
        </w:tc>
        <w:tc>
          <w:tcPr>
            <w:tcW w:w="1300" w:type="dxa"/>
            <w:tcBorders>
              <w:top w:val="nil"/>
              <w:left w:val="nil"/>
              <w:bottom w:val="single" w:sz="4" w:space="0" w:color="auto"/>
              <w:right w:val="single" w:sz="4" w:space="0" w:color="auto"/>
            </w:tcBorders>
            <w:shd w:val="clear" w:color="auto" w:fill="auto"/>
            <w:noWrap/>
            <w:vAlign w:val="center"/>
          </w:tcPr>
          <w:p w14:paraId="13093476"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0.28</w:t>
            </w:r>
          </w:p>
        </w:tc>
      </w:tr>
      <w:tr w:rsidR="0089544F" w:rsidRPr="00263C50" w14:paraId="2DACD261" w14:textId="77777777" w:rsidTr="005668E0">
        <w:trPr>
          <w:trHeight w:val="432"/>
          <w:jc w:val="center"/>
        </w:trPr>
        <w:tc>
          <w:tcPr>
            <w:tcW w:w="3620" w:type="dxa"/>
            <w:tcBorders>
              <w:top w:val="nil"/>
              <w:left w:val="single" w:sz="4" w:space="0" w:color="auto"/>
              <w:bottom w:val="single" w:sz="4" w:space="0" w:color="auto"/>
              <w:right w:val="single" w:sz="4" w:space="0" w:color="auto"/>
            </w:tcBorders>
            <w:shd w:val="clear" w:color="auto" w:fill="auto"/>
            <w:noWrap/>
            <w:vAlign w:val="center"/>
          </w:tcPr>
          <w:p w14:paraId="0230856E" w14:textId="77777777" w:rsidR="0089544F" w:rsidRPr="00263C50" w:rsidRDefault="0089544F" w:rsidP="00186583">
            <w:pP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Tax literacy score</w:t>
            </w:r>
          </w:p>
        </w:tc>
        <w:tc>
          <w:tcPr>
            <w:tcW w:w="1300" w:type="dxa"/>
            <w:tcBorders>
              <w:top w:val="nil"/>
              <w:left w:val="nil"/>
              <w:bottom w:val="single" w:sz="4" w:space="0" w:color="auto"/>
              <w:right w:val="single" w:sz="4" w:space="0" w:color="auto"/>
            </w:tcBorders>
            <w:shd w:val="clear" w:color="auto" w:fill="auto"/>
            <w:noWrap/>
            <w:vAlign w:val="center"/>
          </w:tcPr>
          <w:p w14:paraId="1A7B6D55"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0.46</w:t>
            </w:r>
          </w:p>
        </w:tc>
        <w:tc>
          <w:tcPr>
            <w:tcW w:w="1300" w:type="dxa"/>
            <w:tcBorders>
              <w:top w:val="nil"/>
              <w:left w:val="nil"/>
              <w:bottom w:val="single" w:sz="4" w:space="0" w:color="auto"/>
              <w:right w:val="single" w:sz="4" w:space="0" w:color="auto"/>
            </w:tcBorders>
            <w:shd w:val="clear" w:color="auto" w:fill="auto"/>
            <w:noWrap/>
            <w:vAlign w:val="center"/>
          </w:tcPr>
          <w:p w14:paraId="0C1E1B58"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0.43</w:t>
            </w:r>
          </w:p>
        </w:tc>
        <w:tc>
          <w:tcPr>
            <w:tcW w:w="1300" w:type="dxa"/>
            <w:tcBorders>
              <w:top w:val="nil"/>
              <w:left w:val="nil"/>
              <w:bottom w:val="single" w:sz="4" w:space="0" w:color="auto"/>
              <w:right w:val="single" w:sz="4" w:space="0" w:color="auto"/>
            </w:tcBorders>
            <w:shd w:val="clear" w:color="auto" w:fill="auto"/>
            <w:noWrap/>
            <w:vAlign w:val="center"/>
          </w:tcPr>
          <w:p w14:paraId="7A0BB1B1"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0.24</w:t>
            </w:r>
          </w:p>
        </w:tc>
      </w:tr>
    </w:tbl>
    <w:p w14:paraId="435DC8BF" w14:textId="77777777" w:rsidR="00263C50" w:rsidRDefault="00263C50" w:rsidP="00186583">
      <w:pPr>
        <w:rPr>
          <w:rFonts w:ascii="Times New Roman" w:hAnsi="Times New Roman" w:cs="Times New Roman"/>
          <w:sz w:val="20"/>
          <w:szCs w:val="20"/>
          <w:lang w:val="en-US"/>
        </w:rPr>
      </w:pPr>
    </w:p>
    <w:p w14:paraId="2FA3AA48" w14:textId="77777777" w:rsidR="00263C50" w:rsidRPr="00263C50" w:rsidRDefault="00263C50" w:rsidP="00186583">
      <w:pPr>
        <w:rPr>
          <w:rFonts w:ascii="Times New Roman" w:hAnsi="Times New Roman" w:cs="Times New Roman"/>
          <w:sz w:val="20"/>
          <w:szCs w:val="20"/>
          <w:lang w:val="en-US"/>
        </w:rPr>
        <w:sectPr w:rsidR="00263C50" w:rsidRPr="00263C50" w:rsidSect="00CA4B1F">
          <w:pgSz w:w="12240" w:h="15840"/>
          <w:pgMar w:top="1440" w:right="1440" w:bottom="1440" w:left="1440" w:header="720" w:footer="720" w:gutter="0"/>
          <w:cols w:space="720"/>
          <w:docGrid w:linePitch="360"/>
        </w:sectPr>
      </w:pPr>
    </w:p>
    <w:p w14:paraId="272BB188" w14:textId="77777777" w:rsidR="00CC024A" w:rsidRPr="00263C50" w:rsidRDefault="00CC024A" w:rsidP="00186583">
      <w:pPr>
        <w:rPr>
          <w:rFonts w:ascii="Times New Roman" w:hAnsi="Times New Roman" w:cs="Times New Roman"/>
          <w:b/>
          <w:sz w:val="20"/>
          <w:szCs w:val="20"/>
          <w:lang w:val="en-US"/>
        </w:rPr>
      </w:pPr>
      <w:r w:rsidRPr="00263C50">
        <w:rPr>
          <w:rFonts w:ascii="Times New Roman" w:hAnsi="Times New Roman" w:cs="Times New Roman"/>
          <w:b/>
          <w:sz w:val="20"/>
          <w:szCs w:val="20"/>
          <w:lang w:val="en-US"/>
        </w:rPr>
        <w:lastRenderedPageBreak/>
        <w:t>Table 5 Financial confidence and tax confidence</w:t>
      </w:r>
    </w:p>
    <w:p w14:paraId="524687F2" w14:textId="42BD7791" w:rsidR="00CC024A" w:rsidRPr="00263C50" w:rsidRDefault="00CC024A" w:rsidP="00186583">
      <w:pPr>
        <w:rPr>
          <w:rFonts w:ascii="Times New Roman" w:hAnsi="Times New Roman" w:cs="Times New Roman"/>
          <w:sz w:val="20"/>
          <w:szCs w:val="20"/>
          <w:lang w:val="en-US"/>
        </w:rPr>
      </w:pPr>
    </w:p>
    <w:tbl>
      <w:tblPr>
        <w:tblW w:w="8275" w:type="dxa"/>
        <w:jc w:val="center"/>
        <w:tblLayout w:type="fixed"/>
        <w:tblLook w:val="04A0" w:firstRow="1" w:lastRow="0" w:firstColumn="1" w:lastColumn="0" w:noHBand="0" w:noVBand="1"/>
      </w:tblPr>
      <w:tblGrid>
        <w:gridCol w:w="3415"/>
        <w:gridCol w:w="1215"/>
        <w:gridCol w:w="1215"/>
        <w:gridCol w:w="1215"/>
        <w:gridCol w:w="1215"/>
      </w:tblGrid>
      <w:tr w:rsidR="0089544F" w:rsidRPr="00263C50" w14:paraId="4C9EEE43" w14:textId="77777777" w:rsidTr="003642AF">
        <w:trPr>
          <w:trHeight w:val="600"/>
          <w:jc w:val="center"/>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BFB02" w14:textId="77777777" w:rsidR="0089544F" w:rsidRPr="00263C50" w:rsidRDefault="0089544F" w:rsidP="00186583">
            <w:pP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 </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24794B74"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Mean</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5C505ECE"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Median</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1251F17C"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Standard Deviation</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6CA9E40E"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i/>
                <w:iCs/>
                <w:color w:val="000000"/>
                <w:sz w:val="20"/>
                <w:szCs w:val="20"/>
                <w:lang w:val="en-US"/>
              </w:rPr>
              <w:t>t</w:t>
            </w:r>
            <w:r w:rsidRPr="00263C50">
              <w:rPr>
                <w:rFonts w:ascii="Times New Roman" w:eastAsia="Times New Roman" w:hAnsi="Times New Roman" w:cs="Times New Roman"/>
                <w:color w:val="000000"/>
                <w:sz w:val="20"/>
                <w:szCs w:val="20"/>
                <w:lang w:val="en-US"/>
              </w:rPr>
              <w:t>-Statistic</w:t>
            </w:r>
          </w:p>
        </w:tc>
      </w:tr>
      <w:tr w:rsidR="0089544F" w:rsidRPr="00263C50" w14:paraId="47A4167B" w14:textId="77777777" w:rsidTr="003642AF">
        <w:trPr>
          <w:trHeight w:val="432"/>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08275FE1" w14:textId="77777777" w:rsidR="0089544F" w:rsidRPr="00263C50" w:rsidRDefault="0089544F" w:rsidP="00186583">
            <w:pPr>
              <w:rPr>
                <w:rFonts w:ascii="Times New Roman" w:eastAsia="Times New Roman" w:hAnsi="Times New Roman" w:cs="Times New Roman"/>
                <w:b/>
                <w:bCs/>
                <w:color w:val="000000"/>
                <w:sz w:val="20"/>
                <w:szCs w:val="20"/>
                <w:lang w:val="en-US"/>
              </w:rPr>
            </w:pPr>
            <w:r w:rsidRPr="00263C50">
              <w:rPr>
                <w:rFonts w:ascii="Times New Roman" w:eastAsia="Times New Roman" w:hAnsi="Times New Roman" w:cs="Times New Roman"/>
                <w:b/>
                <w:bCs/>
                <w:color w:val="000000"/>
                <w:sz w:val="20"/>
                <w:szCs w:val="20"/>
                <w:lang w:val="en-US"/>
              </w:rPr>
              <w:t>Financial literacy</w:t>
            </w:r>
          </w:p>
        </w:tc>
        <w:tc>
          <w:tcPr>
            <w:tcW w:w="1215" w:type="dxa"/>
            <w:tcBorders>
              <w:top w:val="nil"/>
              <w:left w:val="nil"/>
              <w:bottom w:val="single" w:sz="4" w:space="0" w:color="auto"/>
              <w:right w:val="single" w:sz="4" w:space="0" w:color="auto"/>
            </w:tcBorders>
            <w:shd w:val="clear" w:color="auto" w:fill="auto"/>
            <w:vAlign w:val="center"/>
            <w:hideMark/>
          </w:tcPr>
          <w:p w14:paraId="6995DE8D" w14:textId="77777777" w:rsidR="0089544F" w:rsidRPr="00263C50" w:rsidRDefault="0089544F" w:rsidP="00186583">
            <w:pPr>
              <w:jc w:val="center"/>
              <w:rPr>
                <w:rFonts w:ascii="Times New Roman" w:eastAsia="Times New Roman" w:hAnsi="Times New Roman" w:cs="Times New Roman"/>
                <w:color w:val="000000"/>
                <w:sz w:val="20"/>
                <w:szCs w:val="20"/>
                <w:lang w:val="en-US"/>
              </w:rPr>
            </w:pPr>
          </w:p>
        </w:tc>
        <w:tc>
          <w:tcPr>
            <w:tcW w:w="1215" w:type="dxa"/>
            <w:tcBorders>
              <w:top w:val="nil"/>
              <w:left w:val="nil"/>
              <w:bottom w:val="single" w:sz="4" w:space="0" w:color="auto"/>
              <w:right w:val="single" w:sz="4" w:space="0" w:color="auto"/>
            </w:tcBorders>
            <w:shd w:val="clear" w:color="auto" w:fill="auto"/>
            <w:vAlign w:val="center"/>
            <w:hideMark/>
          </w:tcPr>
          <w:p w14:paraId="3587C0AF" w14:textId="77777777" w:rsidR="0089544F" w:rsidRPr="00263C50" w:rsidRDefault="0089544F" w:rsidP="00186583">
            <w:pPr>
              <w:jc w:val="center"/>
              <w:rPr>
                <w:rFonts w:ascii="Times New Roman" w:eastAsia="Times New Roman" w:hAnsi="Times New Roman" w:cs="Times New Roman"/>
                <w:color w:val="000000"/>
                <w:sz w:val="20"/>
                <w:szCs w:val="20"/>
                <w:lang w:val="en-US"/>
              </w:rPr>
            </w:pPr>
          </w:p>
        </w:tc>
        <w:tc>
          <w:tcPr>
            <w:tcW w:w="1215" w:type="dxa"/>
            <w:tcBorders>
              <w:top w:val="nil"/>
              <w:left w:val="nil"/>
              <w:bottom w:val="single" w:sz="4" w:space="0" w:color="auto"/>
              <w:right w:val="single" w:sz="4" w:space="0" w:color="auto"/>
            </w:tcBorders>
            <w:shd w:val="clear" w:color="auto" w:fill="auto"/>
            <w:vAlign w:val="center"/>
            <w:hideMark/>
          </w:tcPr>
          <w:p w14:paraId="33F7BDE9" w14:textId="77777777" w:rsidR="0089544F" w:rsidRPr="00263C50" w:rsidRDefault="0089544F" w:rsidP="00186583">
            <w:pPr>
              <w:jc w:val="center"/>
              <w:rPr>
                <w:rFonts w:ascii="Times New Roman" w:eastAsia="Times New Roman" w:hAnsi="Times New Roman" w:cs="Times New Roman"/>
                <w:color w:val="000000"/>
                <w:sz w:val="20"/>
                <w:szCs w:val="20"/>
                <w:lang w:val="en-US"/>
              </w:rPr>
            </w:pPr>
          </w:p>
        </w:tc>
        <w:tc>
          <w:tcPr>
            <w:tcW w:w="1215" w:type="dxa"/>
            <w:tcBorders>
              <w:top w:val="nil"/>
              <w:left w:val="nil"/>
              <w:bottom w:val="single" w:sz="4" w:space="0" w:color="auto"/>
              <w:right w:val="single" w:sz="4" w:space="0" w:color="auto"/>
            </w:tcBorders>
            <w:shd w:val="clear" w:color="auto" w:fill="auto"/>
            <w:noWrap/>
            <w:vAlign w:val="center"/>
            <w:hideMark/>
          </w:tcPr>
          <w:p w14:paraId="423D604C" w14:textId="77777777" w:rsidR="0089544F" w:rsidRPr="00263C50" w:rsidRDefault="0089544F" w:rsidP="00186583">
            <w:pPr>
              <w:jc w:val="center"/>
              <w:rPr>
                <w:rFonts w:ascii="Times New Roman" w:eastAsia="Times New Roman" w:hAnsi="Times New Roman" w:cs="Times New Roman"/>
                <w:color w:val="000000"/>
                <w:sz w:val="20"/>
                <w:szCs w:val="20"/>
                <w:lang w:val="en-US"/>
              </w:rPr>
            </w:pPr>
          </w:p>
        </w:tc>
      </w:tr>
      <w:tr w:rsidR="0089544F" w:rsidRPr="00263C50" w14:paraId="3CFC8A30" w14:textId="77777777" w:rsidTr="003642AF">
        <w:trPr>
          <w:trHeight w:val="432"/>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7CFF4279" w14:textId="4BC5AC19" w:rsidR="0089544F" w:rsidRPr="00263C50" w:rsidRDefault="0089544F" w:rsidP="00186583">
            <w:pP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Self-rated score before</w:t>
            </w:r>
            <w:r w:rsidR="00A247AB" w:rsidRPr="00263C50">
              <w:rPr>
                <w:rFonts w:ascii="Times New Roman" w:eastAsia="Times New Roman" w:hAnsi="Times New Roman" w:cs="Times New Roman"/>
                <w:color w:val="000000"/>
                <w:sz w:val="20"/>
                <w:szCs w:val="20"/>
                <w:lang w:val="en-US"/>
              </w:rPr>
              <w:t xml:space="preserve"> survey</w:t>
            </w:r>
          </w:p>
        </w:tc>
        <w:tc>
          <w:tcPr>
            <w:tcW w:w="1215" w:type="dxa"/>
            <w:tcBorders>
              <w:top w:val="nil"/>
              <w:left w:val="nil"/>
              <w:bottom w:val="single" w:sz="4" w:space="0" w:color="auto"/>
              <w:right w:val="single" w:sz="4" w:space="0" w:color="auto"/>
            </w:tcBorders>
            <w:shd w:val="clear" w:color="auto" w:fill="auto"/>
            <w:noWrap/>
            <w:vAlign w:val="center"/>
            <w:hideMark/>
          </w:tcPr>
          <w:p w14:paraId="67A61B55"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2.99</w:t>
            </w:r>
          </w:p>
        </w:tc>
        <w:tc>
          <w:tcPr>
            <w:tcW w:w="1215" w:type="dxa"/>
            <w:tcBorders>
              <w:top w:val="nil"/>
              <w:left w:val="nil"/>
              <w:bottom w:val="single" w:sz="4" w:space="0" w:color="auto"/>
              <w:right w:val="single" w:sz="4" w:space="0" w:color="auto"/>
            </w:tcBorders>
            <w:shd w:val="clear" w:color="auto" w:fill="auto"/>
            <w:noWrap/>
            <w:vAlign w:val="center"/>
            <w:hideMark/>
          </w:tcPr>
          <w:p w14:paraId="6A7383FD"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3.00</w:t>
            </w:r>
          </w:p>
        </w:tc>
        <w:tc>
          <w:tcPr>
            <w:tcW w:w="1215" w:type="dxa"/>
            <w:tcBorders>
              <w:top w:val="nil"/>
              <w:left w:val="nil"/>
              <w:bottom w:val="single" w:sz="4" w:space="0" w:color="auto"/>
              <w:right w:val="single" w:sz="4" w:space="0" w:color="auto"/>
            </w:tcBorders>
            <w:shd w:val="clear" w:color="auto" w:fill="auto"/>
            <w:noWrap/>
            <w:vAlign w:val="center"/>
            <w:hideMark/>
          </w:tcPr>
          <w:p w14:paraId="6C9B6144"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1.07</w:t>
            </w:r>
          </w:p>
        </w:tc>
        <w:tc>
          <w:tcPr>
            <w:tcW w:w="1215" w:type="dxa"/>
            <w:tcBorders>
              <w:top w:val="nil"/>
              <w:left w:val="nil"/>
              <w:bottom w:val="single" w:sz="4" w:space="0" w:color="auto"/>
              <w:right w:val="single" w:sz="4" w:space="0" w:color="auto"/>
            </w:tcBorders>
            <w:shd w:val="clear" w:color="auto" w:fill="auto"/>
            <w:noWrap/>
            <w:vAlign w:val="center"/>
            <w:hideMark/>
          </w:tcPr>
          <w:p w14:paraId="1FEF5E2C" w14:textId="77777777" w:rsidR="0089544F" w:rsidRPr="00263C50" w:rsidRDefault="0089544F" w:rsidP="00186583">
            <w:pPr>
              <w:jc w:val="center"/>
              <w:rPr>
                <w:rFonts w:ascii="Times New Roman" w:eastAsia="Times New Roman" w:hAnsi="Times New Roman" w:cs="Times New Roman"/>
                <w:color w:val="000000"/>
                <w:sz w:val="20"/>
                <w:szCs w:val="20"/>
                <w:lang w:val="en-US"/>
              </w:rPr>
            </w:pPr>
          </w:p>
        </w:tc>
      </w:tr>
      <w:tr w:rsidR="0089544F" w:rsidRPr="00263C50" w14:paraId="7625C4AC" w14:textId="77777777" w:rsidTr="003642AF">
        <w:trPr>
          <w:trHeight w:val="432"/>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2257EB74" w14:textId="77777777" w:rsidR="0089544F" w:rsidRPr="00263C50" w:rsidRDefault="0089544F" w:rsidP="00186583">
            <w:pPr>
              <w:rPr>
                <w:rFonts w:ascii="Times New Roman" w:eastAsia="Times New Roman" w:hAnsi="Times New Roman" w:cs="Times New Roman"/>
                <w:b/>
                <w:bCs/>
                <w:color w:val="000000"/>
                <w:sz w:val="20"/>
                <w:szCs w:val="20"/>
                <w:lang w:val="en-US"/>
              </w:rPr>
            </w:pPr>
            <w:r w:rsidRPr="00263C50">
              <w:rPr>
                <w:rFonts w:ascii="Times New Roman" w:eastAsia="Times New Roman" w:hAnsi="Times New Roman" w:cs="Times New Roman"/>
                <w:b/>
                <w:bCs/>
                <w:color w:val="000000"/>
                <w:sz w:val="20"/>
                <w:szCs w:val="20"/>
                <w:lang w:val="en-US"/>
              </w:rPr>
              <w:t>Tax literacy</w:t>
            </w:r>
          </w:p>
        </w:tc>
        <w:tc>
          <w:tcPr>
            <w:tcW w:w="1215" w:type="dxa"/>
            <w:tcBorders>
              <w:top w:val="nil"/>
              <w:left w:val="nil"/>
              <w:bottom w:val="single" w:sz="4" w:space="0" w:color="auto"/>
              <w:right w:val="single" w:sz="4" w:space="0" w:color="auto"/>
            </w:tcBorders>
            <w:shd w:val="clear" w:color="auto" w:fill="auto"/>
            <w:noWrap/>
            <w:vAlign w:val="center"/>
            <w:hideMark/>
          </w:tcPr>
          <w:p w14:paraId="21F0797D" w14:textId="77777777" w:rsidR="0089544F" w:rsidRPr="00263C50" w:rsidRDefault="0089544F" w:rsidP="00186583">
            <w:pPr>
              <w:jc w:val="center"/>
              <w:rPr>
                <w:rFonts w:ascii="Times New Roman" w:eastAsia="Times New Roman" w:hAnsi="Times New Roman" w:cs="Times New Roman"/>
                <w:color w:val="000000"/>
                <w:sz w:val="20"/>
                <w:szCs w:val="20"/>
                <w:lang w:val="en-US"/>
              </w:rPr>
            </w:pPr>
          </w:p>
        </w:tc>
        <w:tc>
          <w:tcPr>
            <w:tcW w:w="1215" w:type="dxa"/>
            <w:tcBorders>
              <w:top w:val="nil"/>
              <w:left w:val="nil"/>
              <w:bottom w:val="single" w:sz="4" w:space="0" w:color="auto"/>
              <w:right w:val="single" w:sz="4" w:space="0" w:color="auto"/>
            </w:tcBorders>
            <w:shd w:val="clear" w:color="auto" w:fill="auto"/>
            <w:noWrap/>
            <w:vAlign w:val="center"/>
            <w:hideMark/>
          </w:tcPr>
          <w:p w14:paraId="21717AAB" w14:textId="77777777" w:rsidR="0089544F" w:rsidRPr="00263C50" w:rsidRDefault="0089544F" w:rsidP="00186583">
            <w:pPr>
              <w:jc w:val="center"/>
              <w:rPr>
                <w:rFonts w:ascii="Times New Roman" w:eastAsia="Times New Roman" w:hAnsi="Times New Roman" w:cs="Times New Roman"/>
                <w:color w:val="000000"/>
                <w:sz w:val="20"/>
                <w:szCs w:val="20"/>
                <w:lang w:val="en-US"/>
              </w:rPr>
            </w:pPr>
          </w:p>
        </w:tc>
        <w:tc>
          <w:tcPr>
            <w:tcW w:w="1215" w:type="dxa"/>
            <w:tcBorders>
              <w:top w:val="nil"/>
              <w:left w:val="nil"/>
              <w:bottom w:val="single" w:sz="4" w:space="0" w:color="auto"/>
              <w:right w:val="single" w:sz="4" w:space="0" w:color="auto"/>
            </w:tcBorders>
            <w:shd w:val="clear" w:color="auto" w:fill="auto"/>
            <w:noWrap/>
            <w:vAlign w:val="center"/>
            <w:hideMark/>
          </w:tcPr>
          <w:p w14:paraId="197BA5D3" w14:textId="77777777" w:rsidR="0089544F" w:rsidRPr="00263C50" w:rsidRDefault="0089544F" w:rsidP="00186583">
            <w:pPr>
              <w:jc w:val="center"/>
              <w:rPr>
                <w:rFonts w:ascii="Times New Roman" w:eastAsia="Times New Roman" w:hAnsi="Times New Roman" w:cs="Times New Roman"/>
                <w:color w:val="000000"/>
                <w:sz w:val="20"/>
                <w:szCs w:val="20"/>
                <w:lang w:val="en-US"/>
              </w:rPr>
            </w:pPr>
          </w:p>
        </w:tc>
        <w:tc>
          <w:tcPr>
            <w:tcW w:w="1215" w:type="dxa"/>
            <w:tcBorders>
              <w:top w:val="nil"/>
              <w:left w:val="nil"/>
              <w:bottom w:val="single" w:sz="4" w:space="0" w:color="auto"/>
              <w:right w:val="single" w:sz="4" w:space="0" w:color="auto"/>
            </w:tcBorders>
            <w:shd w:val="clear" w:color="auto" w:fill="auto"/>
            <w:noWrap/>
            <w:vAlign w:val="center"/>
            <w:hideMark/>
          </w:tcPr>
          <w:p w14:paraId="37954FDE" w14:textId="77777777" w:rsidR="0089544F" w:rsidRPr="00263C50" w:rsidRDefault="0089544F" w:rsidP="00186583">
            <w:pPr>
              <w:jc w:val="center"/>
              <w:rPr>
                <w:rFonts w:ascii="Times New Roman" w:eastAsia="Times New Roman" w:hAnsi="Times New Roman" w:cs="Times New Roman"/>
                <w:color w:val="000000"/>
                <w:sz w:val="20"/>
                <w:szCs w:val="20"/>
                <w:lang w:val="en-US"/>
              </w:rPr>
            </w:pPr>
          </w:p>
        </w:tc>
      </w:tr>
      <w:tr w:rsidR="0089544F" w:rsidRPr="00263C50" w14:paraId="316FA17D" w14:textId="77777777" w:rsidTr="003642AF">
        <w:trPr>
          <w:trHeight w:val="432"/>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21F6F033" w14:textId="47DBD8E9" w:rsidR="0089544F" w:rsidRPr="00263C50" w:rsidRDefault="0089544F" w:rsidP="00186583">
            <w:pP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Self-rated score before</w:t>
            </w:r>
            <w:r w:rsidR="00A247AB" w:rsidRPr="00263C50">
              <w:rPr>
                <w:rFonts w:ascii="Times New Roman" w:eastAsia="Times New Roman" w:hAnsi="Times New Roman" w:cs="Times New Roman"/>
                <w:color w:val="000000"/>
                <w:sz w:val="20"/>
                <w:szCs w:val="20"/>
                <w:lang w:val="en-US"/>
              </w:rPr>
              <w:t xml:space="preserve"> survey</w:t>
            </w:r>
          </w:p>
        </w:tc>
        <w:tc>
          <w:tcPr>
            <w:tcW w:w="1215" w:type="dxa"/>
            <w:tcBorders>
              <w:top w:val="nil"/>
              <w:left w:val="nil"/>
              <w:bottom w:val="single" w:sz="4" w:space="0" w:color="auto"/>
              <w:right w:val="single" w:sz="4" w:space="0" w:color="auto"/>
            </w:tcBorders>
            <w:shd w:val="clear" w:color="auto" w:fill="auto"/>
            <w:noWrap/>
            <w:vAlign w:val="center"/>
            <w:hideMark/>
          </w:tcPr>
          <w:p w14:paraId="196995CB"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2.21</w:t>
            </w:r>
          </w:p>
        </w:tc>
        <w:tc>
          <w:tcPr>
            <w:tcW w:w="1215" w:type="dxa"/>
            <w:tcBorders>
              <w:top w:val="nil"/>
              <w:left w:val="nil"/>
              <w:bottom w:val="single" w:sz="4" w:space="0" w:color="auto"/>
              <w:right w:val="single" w:sz="4" w:space="0" w:color="auto"/>
            </w:tcBorders>
            <w:shd w:val="clear" w:color="auto" w:fill="auto"/>
            <w:noWrap/>
            <w:vAlign w:val="center"/>
            <w:hideMark/>
          </w:tcPr>
          <w:p w14:paraId="02A4483E"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2.00</w:t>
            </w:r>
          </w:p>
        </w:tc>
        <w:tc>
          <w:tcPr>
            <w:tcW w:w="1215" w:type="dxa"/>
            <w:tcBorders>
              <w:top w:val="nil"/>
              <w:left w:val="nil"/>
              <w:bottom w:val="single" w:sz="4" w:space="0" w:color="auto"/>
              <w:right w:val="single" w:sz="4" w:space="0" w:color="auto"/>
            </w:tcBorders>
            <w:shd w:val="clear" w:color="auto" w:fill="auto"/>
            <w:noWrap/>
            <w:vAlign w:val="center"/>
            <w:hideMark/>
          </w:tcPr>
          <w:p w14:paraId="73742E8A" w14:textId="77777777" w:rsidR="0089544F" w:rsidRPr="00263C50" w:rsidRDefault="0089544F" w:rsidP="00186583">
            <w:pPr>
              <w:jc w:val="center"/>
              <w:rPr>
                <w:rFonts w:ascii="Times New Roman" w:eastAsia="Times New Roman" w:hAnsi="Times New Roman" w:cs="Times New Roman"/>
                <w:color w:val="000000"/>
                <w:sz w:val="20"/>
                <w:szCs w:val="20"/>
                <w:lang w:val="en-US"/>
              </w:rPr>
            </w:pPr>
            <w:r w:rsidRPr="00263C50">
              <w:rPr>
                <w:rFonts w:ascii="Times New Roman" w:eastAsia="Times New Roman" w:hAnsi="Times New Roman" w:cs="Times New Roman"/>
                <w:color w:val="000000"/>
                <w:sz w:val="20"/>
                <w:szCs w:val="20"/>
                <w:lang w:val="en-US"/>
              </w:rPr>
              <w:t>0.96</w:t>
            </w:r>
          </w:p>
        </w:tc>
        <w:tc>
          <w:tcPr>
            <w:tcW w:w="1215" w:type="dxa"/>
            <w:tcBorders>
              <w:top w:val="nil"/>
              <w:left w:val="nil"/>
              <w:bottom w:val="single" w:sz="4" w:space="0" w:color="auto"/>
              <w:right w:val="single" w:sz="4" w:space="0" w:color="auto"/>
            </w:tcBorders>
            <w:shd w:val="clear" w:color="auto" w:fill="auto"/>
            <w:noWrap/>
            <w:vAlign w:val="center"/>
            <w:hideMark/>
          </w:tcPr>
          <w:p w14:paraId="4B2A50EE" w14:textId="77777777" w:rsidR="0089544F" w:rsidRPr="00263C50" w:rsidRDefault="0089544F" w:rsidP="00186583">
            <w:pPr>
              <w:jc w:val="center"/>
              <w:rPr>
                <w:rFonts w:ascii="Times New Roman" w:eastAsia="Times New Roman" w:hAnsi="Times New Roman" w:cs="Times New Roman"/>
                <w:color w:val="000000"/>
                <w:sz w:val="20"/>
                <w:szCs w:val="20"/>
                <w:lang w:val="en-US"/>
              </w:rPr>
            </w:pPr>
          </w:p>
        </w:tc>
      </w:tr>
    </w:tbl>
    <w:p w14:paraId="71FACAD0" w14:textId="77777777" w:rsidR="00263C50" w:rsidRDefault="00263C50" w:rsidP="00263C50">
      <w:pPr>
        <w:rPr>
          <w:rFonts w:ascii="Times New Roman" w:hAnsi="Times New Roman" w:cs="Times New Roman"/>
          <w:sz w:val="20"/>
          <w:szCs w:val="20"/>
          <w:lang w:val="en-US"/>
        </w:rPr>
      </w:pPr>
    </w:p>
    <w:p w14:paraId="0AE8DC0B" w14:textId="77777777" w:rsidR="00263C50" w:rsidRPr="00263C50" w:rsidRDefault="00263C50" w:rsidP="00263C50">
      <w:pPr>
        <w:rPr>
          <w:rFonts w:ascii="Times New Roman" w:hAnsi="Times New Roman" w:cs="Times New Roman"/>
          <w:sz w:val="20"/>
          <w:szCs w:val="20"/>
          <w:lang w:val="en-US"/>
        </w:rPr>
        <w:sectPr w:rsidR="00263C50" w:rsidRPr="00263C50" w:rsidSect="00CA4B1F">
          <w:pgSz w:w="12240" w:h="15840"/>
          <w:pgMar w:top="1440" w:right="1440" w:bottom="1440" w:left="1440" w:header="720" w:footer="720" w:gutter="0"/>
          <w:cols w:space="720"/>
          <w:docGrid w:linePitch="360"/>
        </w:sectPr>
      </w:pPr>
    </w:p>
    <w:p w14:paraId="57907A44" w14:textId="77777777" w:rsidR="0089544F" w:rsidRDefault="0089544F" w:rsidP="00186583">
      <w:pPr>
        <w:rPr>
          <w:rFonts w:ascii="Times New Roman" w:hAnsi="Times New Roman" w:cs="Times New Roman"/>
          <w:b/>
          <w:sz w:val="20"/>
          <w:szCs w:val="20"/>
          <w:lang w:val="en-US"/>
        </w:rPr>
      </w:pPr>
      <w:r w:rsidRPr="00263C50">
        <w:rPr>
          <w:rFonts w:ascii="Times New Roman" w:hAnsi="Times New Roman" w:cs="Times New Roman"/>
          <w:b/>
          <w:sz w:val="20"/>
          <w:szCs w:val="20"/>
          <w:lang w:val="en-US"/>
        </w:rPr>
        <w:lastRenderedPageBreak/>
        <w:t>Table 6 The impact of accounting and tax education on Tax Literacy with socio-economic determinants</w:t>
      </w:r>
      <w:r w:rsidRPr="00263C50">
        <w:rPr>
          <w:rFonts w:ascii="Times New Roman" w:hAnsi="Times New Roman" w:cs="Times New Roman"/>
          <w:sz w:val="20"/>
          <w:szCs w:val="20"/>
          <w:vertAlign w:val="superscript"/>
        </w:rPr>
        <w:footnoteReference w:id="9"/>
      </w:r>
    </w:p>
    <w:p w14:paraId="55FB5F8F" w14:textId="77777777" w:rsidR="00263C50" w:rsidRPr="00263C50" w:rsidRDefault="00263C50" w:rsidP="00186583">
      <w:pPr>
        <w:rPr>
          <w:rFonts w:ascii="Times New Roman" w:hAnsi="Times New Roman" w:cs="Times New Roman"/>
          <w:b/>
          <w:sz w:val="20"/>
          <w:szCs w:val="20"/>
          <w:lang w:val="en-US"/>
        </w:rPr>
      </w:pPr>
    </w:p>
    <w:tbl>
      <w:tblPr>
        <w:tblW w:w="5000" w:type="pct"/>
        <w:jc w:val="center"/>
        <w:tblLook w:val="04A0" w:firstRow="1" w:lastRow="0" w:firstColumn="1" w:lastColumn="0" w:noHBand="0" w:noVBand="1"/>
      </w:tblPr>
      <w:tblGrid>
        <w:gridCol w:w="1742"/>
        <w:gridCol w:w="1524"/>
        <w:gridCol w:w="1524"/>
        <w:gridCol w:w="1524"/>
        <w:gridCol w:w="1524"/>
        <w:gridCol w:w="1522"/>
      </w:tblGrid>
      <w:tr w:rsidR="0089544F" w:rsidRPr="00263C50" w14:paraId="0D90D148" w14:textId="77777777" w:rsidTr="005668E0">
        <w:trPr>
          <w:trHeight w:val="288"/>
          <w:jc w:val="center"/>
        </w:trPr>
        <w:tc>
          <w:tcPr>
            <w:tcW w:w="931" w:type="pct"/>
            <w:tcBorders>
              <w:top w:val="single" w:sz="4" w:space="0" w:color="auto"/>
              <w:left w:val="nil"/>
              <w:bottom w:val="single" w:sz="4" w:space="0" w:color="auto"/>
              <w:right w:val="nil"/>
            </w:tcBorders>
            <w:shd w:val="clear" w:color="auto" w:fill="auto"/>
            <w:noWrap/>
            <w:vAlign w:val="center"/>
            <w:hideMark/>
          </w:tcPr>
          <w:p w14:paraId="18B8D799" w14:textId="77777777" w:rsidR="0089544F" w:rsidRPr="00263C50" w:rsidRDefault="0089544F" w:rsidP="00186583">
            <w:pPr>
              <w:rPr>
                <w:rFonts w:ascii="Times New Roman" w:hAnsi="Times New Roman" w:cs="Times New Roman"/>
                <w:sz w:val="20"/>
                <w:szCs w:val="20"/>
                <w:lang w:val="en-US"/>
              </w:rPr>
            </w:pPr>
          </w:p>
        </w:tc>
        <w:tc>
          <w:tcPr>
            <w:tcW w:w="4069" w:type="pct"/>
            <w:gridSpan w:val="5"/>
            <w:tcBorders>
              <w:top w:val="single" w:sz="4" w:space="0" w:color="auto"/>
              <w:left w:val="nil"/>
              <w:bottom w:val="single" w:sz="4" w:space="0" w:color="auto"/>
              <w:right w:val="nil"/>
            </w:tcBorders>
            <w:shd w:val="clear" w:color="auto" w:fill="auto"/>
            <w:noWrap/>
            <w:vAlign w:val="center"/>
            <w:hideMark/>
          </w:tcPr>
          <w:p w14:paraId="0633D576" w14:textId="77777777" w:rsidR="0089544F" w:rsidRPr="00263C50" w:rsidRDefault="0089544F" w:rsidP="00186583">
            <w:pPr>
              <w:jc w:val="center"/>
              <w:rPr>
                <w:rFonts w:ascii="Times New Roman" w:hAnsi="Times New Roman" w:cs="Times New Roman"/>
                <w:i/>
                <w:sz w:val="20"/>
                <w:szCs w:val="20"/>
                <w:lang w:val="en-US"/>
              </w:rPr>
            </w:pPr>
            <w:proofErr w:type="spellStart"/>
            <w:r w:rsidRPr="00263C50">
              <w:rPr>
                <w:rFonts w:ascii="Times New Roman" w:hAnsi="Times New Roman" w:cs="Times New Roman"/>
                <w:i/>
                <w:sz w:val="20"/>
                <w:szCs w:val="20"/>
                <w:lang w:val="en-US"/>
              </w:rPr>
              <w:t>TaxLit</w:t>
            </w:r>
            <w:proofErr w:type="spellEnd"/>
          </w:p>
        </w:tc>
      </w:tr>
      <w:tr w:rsidR="0089544F" w:rsidRPr="00263C50" w14:paraId="77149FCD" w14:textId="77777777" w:rsidTr="005668E0">
        <w:trPr>
          <w:trHeight w:val="288"/>
          <w:jc w:val="center"/>
        </w:trPr>
        <w:tc>
          <w:tcPr>
            <w:tcW w:w="931" w:type="pct"/>
            <w:tcBorders>
              <w:top w:val="single" w:sz="4" w:space="0" w:color="auto"/>
              <w:left w:val="nil"/>
              <w:bottom w:val="single" w:sz="4" w:space="0" w:color="auto"/>
              <w:right w:val="nil"/>
            </w:tcBorders>
            <w:shd w:val="clear" w:color="auto" w:fill="auto"/>
            <w:noWrap/>
            <w:vAlign w:val="center"/>
          </w:tcPr>
          <w:p w14:paraId="07B98097" w14:textId="77777777" w:rsidR="0089544F" w:rsidRPr="00263C50" w:rsidRDefault="0089544F" w:rsidP="00186583">
            <w:pPr>
              <w:rPr>
                <w:rFonts w:ascii="Times New Roman" w:hAnsi="Times New Roman" w:cs="Times New Roman"/>
                <w:sz w:val="20"/>
                <w:szCs w:val="20"/>
                <w:lang w:val="en-US"/>
              </w:rPr>
            </w:pPr>
          </w:p>
        </w:tc>
        <w:tc>
          <w:tcPr>
            <w:tcW w:w="814" w:type="pct"/>
            <w:tcBorders>
              <w:top w:val="single" w:sz="4" w:space="0" w:color="auto"/>
              <w:left w:val="nil"/>
              <w:bottom w:val="single" w:sz="4" w:space="0" w:color="auto"/>
              <w:right w:val="nil"/>
            </w:tcBorders>
            <w:shd w:val="clear" w:color="auto" w:fill="auto"/>
            <w:noWrap/>
            <w:vAlign w:val="center"/>
          </w:tcPr>
          <w:p w14:paraId="7286D4A1" w14:textId="77777777" w:rsidR="0089544F" w:rsidRPr="00263C50" w:rsidRDefault="0089544F" w:rsidP="00186583">
            <w:pPr>
              <w:jc w:val="center"/>
              <w:rPr>
                <w:rFonts w:ascii="Times New Roman" w:hAnsi="Times New Roman" w:cs="Times New Roman"/>
                <w:i/>
                <w:sz w:val="20"/>
                <w:szCs w:val="20"/>
                <w:lang w:val="en-US"/>
              </w:rPr>
            </w:pPr>
            <w:r w:rsidRPr="00263C50">
              <w:rPr>
                <w:rFonts w:ascii="Times New Roman" w:hAnsi="Times New Roman" w:cs="Times New Roman"/>
                <w:i/>
                <w:sz w:val="20"/>
                <w:szCs w:val="20"/>
                <w:lang w:val="en-US"/>
              </w:rPr>
              <w:t>Model 1</w:t>
            </w:r>
          </w:p>
        </w:tc>
        <w:tc>
          <w:tcPr>
            <w:tcW w:w="814" w:type="pct"/>
            <w:tcBorders>
              <w:top w:val="single" w:sz="4" w:space="0" w:color="auto"/>
              <w:left w:val="nil"/>
              <w:bottom w:val="single" w:sz="4" w:space="0" w:color="auto"/>
              <w:right w:val="nil"/>
            </w:tcBorders>
            <w:vAlign w:val="center"/>
          </w:tcPr>
          <w:p w14:paraId="39981209" w14:textId="77777777" w:rsidR="0089544F" w:rsidRPr="00263C50" w:rsidRDefault="0089544F" w:rsidP="00186583">
            <w:pPr>
              <w:jc w:val="center"/>
              <w:rPr>
                <w:rFonts w:ascii="Times New Roman" w:hAnsi="Times New Roman" w:cs="Times New Roman"/>
                <w:i/>
                <w:sz w:val="20"/>
                <w:szCs w:val="20"/>
                <w:lang w:val="en-US"/>
              </w:rPr>
            </w:pPr>
            <w:r w:rsidRPr="00263C50">
              <w:rPr>
                <w:rFonts w:ascii="Times New Roman" w:hAnsi="Times New Roman" w:cs="Times New Roman"/>
                <w:i/>
                <w:sz w:val="20"/>
                <w:szCs w:val="20"/>
                <w:lang w:val="en-US"/>
              </w:rPr>
              <w:t>Model 2</w:t>
            </w:r>
          </w:p>
        </w:tc>
        <w:tc>
          <w:tcPr>
            <w:tcW w:w="814" w:type="pct"/>
            <w:tcBorders>
              <w:top w:val="single" w:sz="4" w:space="0" w:color="auto"/>
              <w:left w:val="nil"/>
              <w:bottom w:val="single" w:sz="4" w:space="0" w:color="auto"/>
              <w:right w:val="nil"/>
            </w:tcBorders>
            <w:vAlign w:val="center"/>
          </w:tcPr>
          <w:p w14:paraId="19F8AC54" w14:textId="77777777" w:rsidR="0089544F" w:rsidRPr="00263C50" w:rsidRDefault="0089544F" w:rsidP="00186583">
            <w:pPr>
              <w:jc w:val="center"/>
              <w:rPr>
                <w:rFonts w:ascii="Times New Roman" w:hAnsi="Times New Roman" w:cs="Times New Roman"/>
                <w:i/>
                <w:sz w:val="20"/>
                <w:szCs w:val="20"/>
                <w:lang w:val="en-US"/>
              </w:rPr>
            </w:pPr>
            <w:r w:rsidRPr="00263C50">
              <w:rPr>
                <w:rFonts w:ascii="Times New Roman" w:hAnsi="Times New Roman" w:cs="Times New Roman"/>
                <w:i/>
                <w:sz w:val="20"/>
                <w:szCs w:val="20"/>
                <w:lang w:val="en-US"/>
              </w:rPr>
              <w:t>Model 3</w:t>
            </w:r>
          </w:p>
        </w:tc>
        <w:tc>
          <w:tcPr>
            <w:tcW w:w="814" w:type="pct"/>
            <w:tcBorders>
              <w:top w:val="single" w:sz="4" w:space="0" w:color="auto"/>
              <w:left w:val="nil"/>
              <w:bottom w:val="single" w:sz="4" w:space="0" w:color="auto"/>
              <w:right w:val="nil"/>
            </w:tcBorders>
            <w:vAlign w:val="center"/>
          </w:tcPr>
          <w:p w14:paraId="73F7C9CF" w14:textId="77777777" w:rsidR="0089544F" w:rsidRPr="00263C50" w:rsidRDefault="0089544F" w:rsidP="00186583">
            <w:pPr>
              <w:jc w:val="center"/>
              <w:rPr>
                <w:rFonts w:ascii="Times New Roman" w:hAnsi="Times New Roman" w:cs="Times New Roman"/>
                <w:i/>
                <w:sz w:val="20"/>
                <w:szCs w:val="20"/>
                <w:lang w:val="en-US"/>
              </w:rPr>
            </w:pPr>
            <w:r w:rsidRPr="00263C50">
              <w:rPr>
                <w:rFonts w:ascii="Times New Roman" w:hAnsi="Times New Roman" w:cs="Times New Roman"/>
                <w:i/>
                <w:sz w:val="20"/>
                <w:szCs w:val="20"/>
                <w:lang w:val="en-US"/>
              </w:rPr>
              <w:t>Model 4</w:t>
            </w:r>
          </w:p>
        </w:tc>
        <w:tc>
          <w:tcPr>
            <w:tcW w:w="813" w:type="pct"/>
            <w:tcBorders>
              <w:top w:val="single" w:sz="4" w:space="0" w:color="auto"/>
              <w:left w:val="nil"/>
              <w:bottom w:val="single" w:sz="4" w:space="0" w:color="auto"/>
              <w:right w:val="nil"/>
            </w:tcBorders>
            <w:vAlign w:val="center"/>
          </w:tcPr>
          <w:p w14:paraId="04060C5B" w14:textId="77777777" w:rsidR="0089544F" w:rsidRPr="00263C50" w:rsidRDefault="0089544F" w:rsidP="00186583">
            <w:pPr>
              <w:jc w:val="center"/>
              <w:rPr>
                <w:rFonts w:ascii="Times New Roman" w:hAnsi="Times New Roman" w:cs="Times New Roman"/>
                <w:i/>
                <w:sz w:val="20"/>
                <w:szCs w:val="20"/>
                <w:lang w:val="en-US"/>
              </w:rPr>
            </w:pPr>
            <w:r w:rsidRPr="00263C50">
              <w:rPr>
                <w:rFonts w:ascii="Times New Roman" w:hAnsi="Times New Roman" w:cs="Times New Roman"/>
                <w:i/>
                <w:sz w:val="20"/>
                <w:szCs w:val="20"/>
                <w:lang w:val="en-US"/>
              </w:rPr>
              <w:t>Model 5</w:t>
            </w:r>
          </w:p>
        </w:tc>
      </w:tr>
      <w:tr w:rsidR="0089544F" w:rsidRPr="00263C50" w14:paraId="708D123C" w14:textId="77777777" w:rsidTr="005668E0">
        <w:trPr>
          <w:trHeight w:val="288"/>
          <w:jc w:val="center"/>
        </w:trPr>
        <w:tc>
          <w:tcPr>
            <w:tcW w:w="931" w:type="pct"/>
            <w:tcBorders>
              <w:top w:val="nil"/>
              <w:left w:val="nil"/>
              <w:bottom w:val="nil"/>
              <w:right w:val="nil"/>
            </w:tcBorders>
            <w:shd w:val="clear" w:color="auto" w:fill="auto"/>
            <w:noWrap/>
            <w:vAlign w:val="center"/>
          </w:tcPr>
          <w:p w14:paraId="6D4363C5"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IntroAcctg</w:t>
            </w:r>
            <w:proofErr w:type="spellEnd"/>
          </w:p>
        </w:tc>
        <w:tc>
          <w:tcPr>
            <w:tcW w:w="814" w:type="pct"/>
            <w:tcBorders>
              <w:top w:val="nil"/>
              <w:left w:val="nil"/>
              <w:bottom w:val="nil"/>
              <w:right w:val="nil"/>
            </w:tcBorders>
            <w:shd w:val="clear" w:color="auto" w:fill="auto"/>
            <w:noWrap/>
            <w:vAlign w:val="center"/>
          </w:tcPr>
          <w:p w14:paraId="4D5776C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814" w:type="pct"/>
            <w:tcBorders>
              <w:top w:val="nil"/>
              <w:left w:val="nil"/>
              <w:bottom w:val="nil"/>
              <w:right w:val="nil"/>
            </w:tcBorders>
            <w:vAlign w:val="center"/>
          </w:tcPr>
          <w:p w14:paraId="2F746DA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0.016</w:t>
            </w:r>
          </w:p>
        </w:tc>
        <w:tc>
          <w:tcPr>
            <w:tcW w:w="814" w:type="pct"/>
            <w:tcBorders>
              <w:top w:val="nil"/>
              <w:left w:val="nil"/>
              <w:bottom w:val="nil"/>
              <w:right w:val="nil"/>
            </w:tcBorders>
            <w:vAlign w:val="center"/>
          </w:tcPr>
          <w:p w14:paraId="209FBD2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814" w:type="pct"/>
            <w:tcBorders>
              <w:top w:val="nil"/>
              <w:left w:val="nil"/>
              <w:bottom w:val="nil"/>
              <w:right w:val="nil"/>
            </w:tcBorders>
            <w:vAlign w:val="center"/>
          </w:tcPr>
          <w:p w14:paraId="2B28ED1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0.0027</w:t>
            </w:r>
          </w:p>
        </w:tc>
        <w:tc>
          <w:tcPr>
            <w:tcW w:w="813" w:type="pct"/>
            <w:tcBorders>
              <w:top w:val="nil"/>
              <w:left w:val="nil"/>
              <w:bottom w:val="nil"/>
              <w:right w:val="nil"/>
            </w:tcBorders>
            <w:vAlign w:val="center"/>
          </w:tcPr>
          <w:p w14:paraId="5C1D713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-0.027</w:t>
            </w:r>
          </w:p>
        </w:tc>
      </w:tr>
      <w:tr w:rsidR="0089544F" w:rsidRPr="00263C50" w14:paraId="0F21B8C2" w14:textId="77777777" w:rsidTr="005668E0">
        <w:trPr>
          <w:trHeight w:val="288"/>
          <w:jc w:val="center"/>
        </w:trPr>
        <w:tc>
          <w:tcPr>
            <w:tcW w:w="931" w:type="pct"/>
            <w:tcBorders>
              <w:top w:val="nil"/>
              <w:left w:val="nil"/>
              <w:bottom w:val="nil"/>
              <w:right w:val="nil"/>
            </w:tcBorders>
            <w:shd w:val="clear" w:color="auto" w:fill="auto"/>
            <w:noWrap/>
            <w:vAlign w:val="center"/>
          </w:tcPr>
          <w:p w14:paraId="6F017E08" w14:textId="77777777" w:rsidR="0089544F" w:rsidRPr="00263C50" w:rsidRDefault="0089544F" w:rsidP="00186583">
            <w:pPr>
              <w:rPr>
                <w:rFonts w:ascii="Times New Roman" w:hAnsi="Times New Roman" w:cs="Times New Roman"/>
                <w:i/>
                <w:color w:val="000000"/>
                <w:sz w:val="20"/>
                <w:szCs w:val="20"/>
              </w:rPr>
            </w:pPr>
          </w:p>
        </w:tc>
        <w:tc>
          <w:tcPr>
            <w:tcW w:w="814" w:type="pct"/>
            <w:tcBorders>
              <w:top w:val="nil"/>
              <w:left w:val="nil"/>
              <w:bottom w:val="nil"/>
              <w:right w:val="nil"/>
            </w:tcBorders>
            <w:shd w:val="clear" w:color="auto" w:fill="auto"/>
            <w:noWrap/>
            <w:vAlign w:val="center"/>
          </w:tcPr>
          <w:p w14:paraId="274CEB06" w14:textId="77777777" w:rsidR="0089544F" w:rsidRPr="00263C50" w:rsidRDefault="0089544F" w:rsidP="00186583">
            <w:pPr>
              <w:jc w:val="center"/>
              <w:rPr>
                <w:rFonts w:ascii="Times New Roman" w:hAnsi="Times New Roman" w:cs="Times New Roman"/>
                <w:color w:val="000000"/>
                <w:sz w:val="20"/>
                <w:szCs w:val="20"/>
              </w:rPr>
            </w:pPr>
          </w:p>
        </w:tc>
        <w:tc>
          <w:tcPr>
            <w:tcW w:w="814" w:type="pct"/>
            <w:tcBorders>
              <w:top w:val="nil"/>
              <w:left w:val="nil"/>
              <w:bottom w:val="nil"/>
              <w:right w:val="nil"/>
            </w:tcBorders>
            <w:vAlign w:val="center"/>
          </w:tcPr>
          <w:p w14:paraId="4CE1113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(0.36)</w:t>
            </w:r>
          </w:p>
        </w:tc>
        <w:tc>
          <w:tcPr>
            <w:tcW w:w="814" w:type="pct"/>
            <w:tcBorders>
              <w:top w:val="nil"/>
              <w:left w:val="nil"/>
              <w:bottom w:val="nil"/>
              <w:right w:val="nil"/>
            </w:tcBorders>
            <w:vAlign w:val="center"/>
          </w:tcPr>
          <w:p w14:paraId="715EEC48" w14:textId="77777777" w:rsidR="0089544F" w:rsidRPr="00263C50" w:rsidRDefault="0089544F" w:rsidP="00186583">
            <w:pPr>
              <w:jc w:val="center"/>
              <w:rPr>
                <w:rFonts w:ascii="Times New Roman" w:hAnsi="Times New Roman" w:cs="Times New Roman"/>
                <w:color w:val="000000"/>
                <w:sz w:val="20"/>
                <w:szCs w:val="20"/>
              </w:rPr>
            </w:pPr>
          </w:p>
        </w:tc>
        <w:tc>
          <w:tcPr>
            <w:tcW w:w="814" w:type="pct"/>
            <w:tcBorders>
              <w:top w:val="nil"/>
              <w:left w:val="nil"/>
              <w:bottom w:val="nil"/>
              <w:right w:val="nil"/>
            </w:tcBorders>
            <w:vAlign w:val="center"/>
          </w:tcPr>
          <w:p w14:paraId="619B7CE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(0.06)</w:t>
            </w:r>
          </w:p>
        </w:tc>
        <w:tc>
          <w:tcPr>
            <w:tcW w:w="813" w:type="pct"/>
            <w:tcBorders>
              <w:top w:val="nil"/>
              <w:left w:val="nil"/>
              <w:bottom w:val="nil"/>
              <w:right w:val="nil"/>
            </w:tcBorders>
            <w:vAlign w:val="center"/>
          </w:tcPr>
          <w:p w14:paraId="2514197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(0.67)</w:t>
            </w:r>
          </w:p>
        </w:tc>
      </w:tr>
      <w:tr w:rsidR="0089544F" w:rsidRPr="00263C50" w14:paraId="27F7D17F" w14:textId="77777777" w:rsidTr="005668E0">
        <w:trPr>
          <w:trHeight w:val="288"/>
          <w:jc w:val="center"/>
        </w:trPr>
        <w:tc>
          <w:tcPr>
            <w:tcW w:w="931" w:type="pct"/>
            <w:tcBorders>
              <w:top w:val="nil"/>
              <w:left w:val="nil"/>
              <w:bottom w:val="nil"/>
              <w:right w:val="nil"/>
            </w:tcBorders>
            <w:shd w:val="clear" w:color="auto" w:fill="auto"/>
            <w:noWrap/>
            <w:vAlign w:val="center"/>
          </w:tcPr>
          <w:p w14:paraId="1BB9ABBE"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UpperAcctg</w:t>
            </w:r>
            <w:proofErr w:type="spellEnd"/>
          </w:p>
        </w:tc>
        <w:tc>
          <w:tcPr>
            <w:tcW w:w="814" w:type="pct"/>
            <w:tcBorders>
              <w:top w:val="nil"/>
              <w:left w:val="nil"/>
              <w:bottom w:val="nil"/>
              <w:right w:val="nil"/>
            </w:tcBorders>
            <w:shd w:val="clear" w:color="auto" w:fill="auto"/>
            <w:noWrap/>
            <w:vAlign w:val="center"/>
          </w:tcPr>
          <w:p w14:paraId="3CFE538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814" w:type="pct"/>
            <w:tcBorders>
              <w:top w:val="nil"/>
              <w:left w:val="nil"/>
              <w:bottom w:val="nil"/>
              <w:right w:val="nil"/>
            </w:tcBorders>
            <w:vAlign w:val="center"/>
          </w:tcPr>
          <w:p w14:paraId="03D6D15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0.12**</w:t>
            </w:r>
          </w:p>
        </w:tc>
        <w:tc>
          <w:tcPr>
            <w:tcW w:w="814" w:type="pct"/>
            <w:tcBorders>
              <w:top w:val="nil"/>
              <w:left w:val="nil"/>
              <w:bottom w:val="nil"/>
              <w:right w:val="nil"/>
            </w:tcBorders>
            <w:vAlign w:val="center"/>
          </w:tcPr>
          <w:p w14:paraId="632996A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814" w:type="pct"/>
            <w:tcBorders>
              <w:top w:val="nil"/>
              <w:left w:val="nil"/>
              <w:bottom w:val="nil"/>
              <w:right w:val="nil"/>
            </w:tcBorders>
            <w:vAlign w:val="center"/>
          </w:tcPr>
          <w:p w14:paraId="4D863AC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0.071</w:t>
            </w:r>
          </w:p>
        </w:tc>
        <w:tc>
          <w:tcPr>
            <w:tcW w:w="813" w:type="pct"/>
            <w:tcBorders>
              <w:top w:val="nil"/>
              <w:left w:val="nil"/>
              <w:bottom w:val="nil"/>
              <w:right w:val="nil"/>
            </w:tcBorders>
            <w:vAlign w:val="center"/>
          </w:tcPr>
          <w:p w14:paraId="318A76A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0.033</w:t>
            </w:r>
          </w:p>
        </w:tc>
      </w:tr>
      <w:tr w:rsidR="0089544F" w:rsidRPr="00263C50" w14:paraId="72499056" w14:textId="77777777" w:rsidTr="005668E0">
        <w:trPr>
          <w:trHeight w:val="288"/>
          <w:jc w:val="center"/>
        </w:trPr>
        <w:tc>
          <w:tcPr>
            <w:tcW w:w="931" w:type="pct"/>
            <w:tcBorders>
              <w:top w:val="nil"/>
              <w:left w:val="nil"/>
              <w:bottom w:val="nil"/>
              <w:right w:val="nil"/>
            </w:tcBorders>
            <w:shd w:val="clear" w:color="auto" w:fill="auto"/>
            <w:noWrap/>
            <w:vAlign w:val="center"/>
          </w:tcPr>
          <w:p w14:paraId="692CB845" w14:textId="77777777" w:rsidR="0089544F" w:rsidRPr="00263C50" w:rsidRDefault="0089544F" w:rsidP="00186583">
            <w:pPr>
              <w:rPr>
                <w:rFonts w:ascii="Times New Roman" w:hAnsi="Times New Roman" w:cs="Times New Roman"/>
                <w:i/>
                <w:color w:val="000000"/>
                <w:sz w:val="20"/>
                <w:szCs w:val="20"/>
              </w:rPr>
            </w:pPr>
          </w:p>
        </w:tc>
        <w:tc>
          <w:tcPr>
            <w:tcW w:w="814" w:type="pct"/>
            <w:tcBorders>
              <w:top w:val="nil"/>
              <w:left w:val="nil"/>
              <w:bottom w:val="nil"/>
              <w:right w:val="nil"/>
            </w:tcBorders>
            <w:shd w:val="clear" w:color="auto" w:fill="auto"/>
            <w:noWrap/>
            <w:vAlign w:val="center"/>
          </w:tcPr>
          <w:p w14:paraId="73A625AD" w14:textId="77777777" w:rsidR="0089544F" w:rsidRPr="00263C50" w:rsidRDefault="0089544F" w:rsidP="00186583">
            <w:pPr>
              <w:jc w:val="center"/>
              <w:rPr>
                <w:rFonts w:ascii="Times New Roman" w:hAnsi="Times New Roman" w:cs="Times New Roman"/>
                <w:color w:val="000000"/>
                <w:sz w:val="20"/>
                <w:szCs w:val="20"/>
              </w:rPr>
            </w:pPr>
          </w:p>
        </w:tc>
        <w:tc>
          <w:tcPr>
            <w:tcW w:w="814" w:type="pct"/>
            <w:tcBorders>
              <w:top w:val="nil"/>
              <w:left w:val="nil"/>
              <w:bottom w:val="nil"/>
              <w:right w:val="nil"/>
            </w:tcBorders>
            <w:vAlign w:val="center"/>
          </w:tcPr>
          <w:p w14:paraId="48004C4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(2.24)</w:t>
            </w:r>
          </w:p>
        </w:tc>
        <w:tc>
          <w:tcPr>
            <w:tcW w:w="814" w:type="pct"/>
            <w:tcBorders>
              <w:top w:val="nil"/>
              <w:left w:val="nil"/>
              <w:bottom w:val="nil"/>
              <w:right w:val="nil"/>
            </w:tcBorders>
            <w:vAlign w:val="center"/>
          </w:tcPr>
          <w:p w14:paraId="4E7BA932" w14:textId="77777777" w:rsidR="0089544F" w:rsidRPr="00263C50" w:rsidRDefault="0089544F" w:rsidP="00186583">
            <w:pPr>
              <w:jc w:val="center"/>
              <w:rPr>
                <w:rFonts w:ascii="Times New Roman" w:hAnsi="Times New Roman" w:cs="Times New Roman"/>
                <w:color w:val="000000"/>
                <w:sz w:val="20"/>
                <w:szCs w:val="20"/>
              </w:rPr>
            </w:pPr>
          </w:p>
        </w:tc>
        <w:tc>
          <w:tcPr>
            <w:tcW w:w="814" w:type="pct"/>
            <w:tcBorders>
              <w:top w:val="nil"/>
              <w:left w:val="nil"/>
              <w:bottom w:val="nil"/>
              <w:right w:val="nil"/>
            </w:tcBorders>
            <w:vAlign w:val="center"/>
          </w:tcPr>
          <w:p w14:paraId="7916B5B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(1.07)</w:t>
            </w:r>
          </w:p>
        </w:tc>
        <w:tc>
          <w:tcPr>
            <w:tcW w:w="813" w:type="pct"/>
            <w:tcBorders>
              <w:top w:val="nil"/>
              <w:left w:val="nil"/>
              <w:bottom w:val="nil"/>
              <w:right w:val="nil"/>
            </w:tcBorders>
            <w:vAlign w:val="center"/>
          </w:tcPr>
          <w:p w14:paraId="7746CD9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(0.61)</w:t>
            </w:r>
          </w:p>
        </w:tc>
      </w:tr>
      <w:tr w:rsidR="0089544F" w:rsidRPr="00263C50" w14:paraId="5F7E6C08" w14:textId="77777777" w:rsidTr="005668E0">
        <w:trPr>
          <w:trHeight w:val="288"/>
          <w:jc w:val="center"/>
        </w:trPr>
        <w:tc>
          <w:tcPr>
            <w:tcW w:w="931" w:type="pct"/>
            <w:tcBorders>
              <w:top w:val="nil"/>
              <w:left w:val="nil"/>
              <w:bottom w:val="nil"/>
              <w:right w:val="nil"/>
            </w:tcBorders>
            <w:shd w:val="clear" w:color="auto" w:fill="auto"/>
            <w:noWrap/>
            <w:vAlign w:val="center"/>
          </w:tcPr>
          <w:p w14:paraId="0B3330E7"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IntroTax</w:t>
            </w:r>
            <w:proofErr w:type="spellEnd"/>
          </w:p>
        </w:tc>
        <w:tc>
          <w:tcPr>
            <w:tcW w:w="814" w:type="pct"/>
            <w:tcBorders>
              <w:top w:val="nil"/>
              <w:left w:val="nil"/>
              <w:bottom w:val="nil"/>
              <w:right w:val="nil"/>
            </w:tcBorders>
            <w:shd w:val="clear" w:color="auto" w:fill="auto"/>
            <w:noWrap/>
            <w:vAlign w:val="center"/>
          </w:tcPr>
          <w:p w14:paraId="45E7B28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814" w:type="pct"/>
            <w:tcBorders>
              <w:top w:val="nil"/>
              <w:left w:val="nil"/>
              <w:bottom w:val="nil"/>
              <w:right w:val="nil"/>
            </w:tcBorders>
            <w:vAlign w:val="center"/>
          </w:tcPr>
          <w:p w14:paraId="64B9EAF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814" w:type="pct"/>
            <w:tcBorders>
              <w:top w:val="nil"/>
              <w:left w:val="nil"/>
              <w:bottom w:val="nil"/>
              <w:right w:val="nil"/>
            </w:tcBorders>
            <w:vAlign w:val="center"/>
          </w:tcPr>
          <w:p w14:paraId="4B780FD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0.091*</w:t>
            </w:r>
          </w:p>
        </w:tc>
        <w:tc>
          <w:tcPr>
            <w:tcW w:w="814" w:type="pct"/>
            <w:tcBorders>
              <w:top w:val="nil"/>
              <w:left w:val="nil"/>
              <w:bottom w:val="nil"/>
              <w:right w:val="nil"/>
            </w:tcBorders>
            <w:vAlign w:val="center"/>
          </w:tcPr>
          <w:p w14:paraId="5803E26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0.046</w:t>
            </w:r>
          </w:p>
        </w:tc>
        <w:tc>
          <w:tcPr>
            <w:tcW w:w="813" w:type="pct"/>
            <w:tcBorders>
              <w:top w:val="nil"/>
              <w:left w:val="nil"/>
              <w:bottom w:val="nil"/>
              <w:right w:val="nil"/>
            </w:tcBorders>
            <w:vAlign w:val="center"/>
          </w:tcPr>
          <w:p w14:paraId="2812421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0.081*</w:t>
            </w:r>
          </w:p>
        </w:tc>
      </w:tr>
      <w:tr w:rsidR="0089544F" w:rsidRPr="00263C50" w14:paraId="572DCBE0" w14:textId="77777777" w:rsidTr="005668E0">
        <w:trPr>
          <w:trHeight w:val="288"/>
          <w:jc w:val="center"/>
        </w:trPr>
        <w:tc>
          <w:tcPr>
            <w:tcW w:w="931" w:type="pct"/>
            <w:tcBorders>
              <w:top w:val="nil"/>
              <w:left w:val="nil"/>
              <w:bottom w:val="nil"/>
              <w:right w:val="nil"/>
            </w:tcBorders>
            <w:shd w:val="clear" w:color="auto" w:fill="auto"/>
            <w:noWrap/>
            <w:vAlign w:val="center"/>
          </w:tcPr>
          <w:p w14:paraId="10035C88" w14:textId="77777777" w:rsidR="0089544F" w:rsidRPr="00263C50" w:rsidRDefault="0089544F" w:rsidP="00186583">
            <w:pPr>
              <w:rPr>
                <w:rFonts w:ascii="Times New Roman" w:hAnsi="Times New Roman" w:cs="Times New Roman"/>
                <w:i/>
                <w:color w:val="000000"/>
                <w:sz w:val="20"/>
                <w:szCs w:val="20"/>
              </w:rPr>
            </w:pPr>
          </w:p>
        </w:tc>
        <w:tc>
          <w:tcPr>
            <w:tcW w:w="814" w:type="pct"/>
            <w:tcBorders>
              <w:top w:val="nil"/>
              <w:left w:val="nil"/>
              <w:bottom w:val="nil"/>
              <w:right w:val="nil"/>
            </w:tcBorders>
            <w:shd w:val="clear" w:color="auto" w:fill="auto"/>
            <w:noWrap/>
            <w:vAlign w:val="center"/>
          </w:tcPr>
          <w:p w14:paraId="6C0176EA" w14:textId="77777777" w:rsidR="0089544F" w:rsidRPr="00263C50" w:rsidRDefault="0089544F" w:rsidP="00186583">
            <w:pPr>
              <w:jc w:val="center"/>
              <w:rPr>
                <w:rFonts w:ascii="Times New Roman" w:hAnsi="Times New Roman" w:cs="Times New Roman"/>
                <w:color w:val="000000"/>
                <w:sz w:val="20"/>
                <w:szCs w:val="20"/>
              </w:rPr>
            </w:pPr>
          </w:p>
        </w:tc>
        <w:tc>
          <w:tcPr>
            <w:tcW w:w="814" w:type="pct"/>
            <w:tcBorders>
              <w:top w:val="nil"/>
              <w:left w:val="nil"/>
              <w:bottom w:val="nil"/>
              <w:right w:val="nil"/>
            </w:tcBorders>
            <w:vAlign w:val="center"/>
          </w:tcPr>
          <w:p w14:paraId="0F3BE0FA" w14:textId="77777777" w:rsidR="0089544F" w:rsidRPr="00263C50" w:rsidRDefault="0089544F" w:rsidP="00186583">
            <w:pPr>
              <w:jc w:val="center"/>
              <w:rPr>
                <w:rFonts w:ascii="Times New Roman" w:hAnsi="Times New Roman" w:cs="Times New Roman"/>
                <w:color w:val="000000"/>
                <w:sz w:val="20"/>
                <w:szCs w:val="20"/>
              </w:rPr>
            </w:pPr>
          </w:p>
        </w:tc>
        <w:tc>
          <w:tcPr>
            <w:tcW w:w="814" w:type="pct"/>
            <w:tcBorders>
              <w:top w:val="nil"/>
              <w:left w:val="nil"/>
              <w:bottom w:val="nil"/>
              <w:right w:val="nil"/>
            </w:tcBorders>
            <w:vAlign w:val="center"/>
          </w:tcPr>
          <w:p w14:paraId="073294F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(1.78)</w:t>
            </w:r>
          </w:p>
        </w:tc>
        <w:tc>
          <w:tcPr>
            <w:tcW w:w="814" w:type="pct"/>
            <w:tcBorders>
              <w:top w:val="nil"/>
              <w:left w:val="nil"/>
              <w:bottom w:val="nil"/>
              <w:right w:val="nil"/>
            </w:tcBorders>
            <w:vAlign w:val="center"/>
          </w:tcPr>
          <w:p w14:paraId="3A8884E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(0.78)</w:t>
            </w:r>
          </w:p>
        </w:tc>
        <w:tc>
          <w:tcPr>
            <w:tcW w:w="813" w:type="pct"/>
            <w:tcBorders>
              <w:top w:val="nil"/>
              <w:left w:val="nil"/>
              <w:bottom w:val="nil"/>
              <w:right w:val="nil"/>
            </w:tcBorders>
            <w:vAlign w:val="center"/>
          </w:tcPr>
          <w:p w14:paraId="225FFB0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(1.81)</w:t>
            </w:r>
          </w:p>
        </w:tc>
      </w:tr>
      <w:tr w:rsidR="0089544F" w:rsidRPr="00263C50" w14:paraId="794266BF" w14:textId="77777777" w:rsidTr="005668E0">
        <w:trPr>
          <w:trHeight w:val="288"/>
          <w:jc w:val="center"/>
        </w:trPr>
        <w:tc>
          <w:tcPr>
            <w:tcW w:w="931" w:type="pct"/>
            <w:tcBorders>
              <w:top w:val="nil"/>
              <w:left w:val="nil"/>
              <w:bottom w:val="nil"/>
              <w:right w:val="nil"/>
            </w:tcBorders>
            <w:shd w:val="clear" w:color="auto" w:fill="auto"/>
            <w:noWrap/>
            <w:vAlign w:val="center"/>
          </w:tcPr>
          <w:p w14:paraId="12F34125"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UpperTax</w:t>
            </w:r>
            <w:proofErr w:type="spellEnd"/>
          </w:p>
        </w:tc>
        <w:tc>
          <w:tcPr>
            <w:tcW w:w="814" w:type="pct"/>
            <w:tcBorders>
              <w:top w:val="nil"/>
              <w:left w:val="nil"/>
              <w:bottom w:val="nil"/>
              <w:right w:val="nil"/>
            </w:tcBorders>
            <w:shd w:val="clear" w:color="auto" w:fill="auto"/>
            <w:noWrap/>
            <w:vAlign w:val="center"/>
          </w:tcPr>
          <w:p w14:paraId="1916EA1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814" w:type="pct"/>
            <w:tcBorders>
              <w:top w:val="nil"/>
              <w:left w:val="nil"/>
              <w:bottom w:val="nil"/>
              <w:right w:val="nil"/>
            </w:tcBorders>
            <w:vAlign w:val="center"/>
          </w:tcPr>
          <w:p w14:paraId="1F1EDF9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814" w:type="pct"/>
            <w:tcBorders>
              <w:top w:val="nil"/>
              <w:left w:val="nil"/>
              <w:bottom w:val="nil"/>
              <w:right w:val="nil"/>
            </w:tcBorders>
            <w:vAlign w:val="center"/>
          </w:tcPr>
          <w:p w14:paraId="7E74E4B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0.21***</w:t>
            </w:r>
          </w:p>
        </w:tc>
        <w:tc>
          <w:tcPr>
            <w:tcW w:w="814" w:type="pct"/>
            <w:tcBorders>
              <w:top w:val="nil"/>
              <w:left w:val="nil"/>
              <w:bottom w:val="nil"/>
              <w:right w:val="nil"/>
            </w:tcBorders>
            <w:vAlign w:val="center"/>
          </w:tcPr>
          <w:p w14:paraId="6577558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0.16**</w:t>
            </w:r>
          </w:p>
        </w:tc>
        <w:tc>
          <w:tcPr>
            <w:tcW w:w="813" w:type="pct"/>
            <w:tcBorders>
              <w:top w:val="nil"/>
              <w:left w:val="nil"/>
              <w:bottom w:val="nil"/>
              <w:right w:val="nil"/>
            </w:tcBorders>
            <w:vAlign w:val="center"/>
          </w:tcPr>
          <w:p w14:paraId="2E18675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0.15***</w:t>
            </w:r>
          </w:p>
        </w:tc>
      </w:tr>
      <w:tr w:rsidR="0089544F" w:rsidRPr="00263C50" w14:paraId="0FD8114B" w14:textId="77777777" w:rsidTr="005668E0">
        <w:trPr>
          <w:trHeight w:val="288"/>
          <w:jc w:val="center"/>
        </w:trPr>
        <w:tc>
          <w:tcPr>
            <w:tcW w:w="931" w:type="pct"/>
            <w:tcBorders>
              <w:top w:val="nil"/>
              <w:left w:val="nil"/>
              <w:right w:val="nil"/>
            </w:tcBorders>
            <w:shd w:val="clear" w:color="auto" w:fill="auto"/>
            <w:noWrap/>
            <w:vAlign w:val="center"/>
          </w:tcPr>
          <w:p w14:paraId="036CB948" w14:textId="77777777" w:rsidR="0089544F" w:rsidRPr="00263C50" w:rsidRDefault="0089544F" w:rsidP="00186583">
            <w:pPr>
              <w:rPr>
                <w:rFonts w:ascii="Times New Roman" w:hAnsi="Times New Roman" w:cs="Times New Roman"/>
                <w:i/>
                <w:color w:val="000000"/>
                <w:sz w:val="20"/>
                <w:szCs w:val="20"/>
              </w:rPr>
            </w:pPr>
          </w:p>
        </w:tc>
        <w:tc>
          <w:tcPr>
            <w:tcW w:w="814" w:type="pct"/>
            <w:tcBorders>
              <w:top w:val="nil"/>
              <w:left w:val="nil"/>
              <w:right w:val="nil"/>
            </w:tcBorders>
            <w:shd w:val="clear" w:color="auto" w:fill="auto"/>
            <w:noWrap/>
            <w:vAlign w:val="center"/>
          </w:tcPr>
          <w:p w14:paraId="7D0CB76D" w14:textId="77777777" w:rsidR="0089544F" w:rsidRPr="00263C50" w:rsidRDefault="0089544F" w:rsidP="00186583">
            <w:pPr>
              <w:jc w:val="center"/>
              <w:rPr>
                <w:rFonts w:ascii="Times New Roman" w:hAnsi="Times New Roman" w:cs="Times New Roman"/>
                <w:color w:val="000000"/>
                <w:sz w:val="20"/>
                <w:szCs w:val="20"/>
              </w:rPr>
            </w:pPr>
          </w:p>
        </w:tc>
        <w:tc>
          <w:tcPr>
            <w:tcW w:w="814" w:type="pct"/>
            <w:tcBorders>
              <w:top w:val="nil"/>
              <w:left w:val="nil"/>
              <w:right w:val="nil"/>
            </w:tcBorders>
            <w:vAlign w:val="center"/>
          </w:tcPr>
          <w:p w14:paraId="6BE5BA3F" w14:textId="77777777" w:rsidR="0089544F" w:rsidRPr="00263C50" w:rsidRDefault="0089544F" w:rsidP="00186583">
            <w:pPr>
              <w:jc w:val="center"/>
              <w:rPr>
                <w:rFonts w:ascii="Times New Roman" w:hAnsi="Times New Roman" w:cs="Times New Roman"/>
                <w:color w:val="000000"/>
                <w:sz w:val="20"/>
                <w:szCs w:val="20"/>
              </w:rPr>
            </w:pPr>
          </w:p>
        </w:tc>
        <w:tc>
          <w:tcPr>
            <w:tcW w:w="814" w:type="pct"/>
            <w:tcBorders>
              <w:top w:val="nil"/>
              <w:left w:val="nil"/>
              <w:right w:val="nil"/>
            </w:tcBorders>
            <w:vAlign w:val="center"/>
          </w:tcPr>
          <w:p w14:paraId="6726E13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(3.92)</w:t>
            </w:r>
          </w:p>
        </w:tc>
        <w:tc>
          <w:tcPr>
            <w:tcW w:w="814" w:type="pct"/>
            <w:tcBorders>
              <w:top w:val="nil"/>
              <w:left w:val="nil"/>
              <w:right w:val="nil"/>
            </w:tcBorders>
            <w:vAlign w:val="center"/>
          </w:tcPr>
          <w:p w14:paraId="599B158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(2.55)</w:t>
            </w:r>
          </w:p>
        </w:tc>
        <w:tc>
          <w:tcPr>
            <w:tcW w:w="813" w:type="pct"/>
            <w:tcBorders>
              <w:top w:val="nil"/>
              <w:left w:val="nil"/>
              <w:right w:val="nil"/>
            </w:tcBorders>
            <w:vAlign w:val="center"/>
          </w:tcPr>
          <w:p w14:paraId="2D96DE3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(2.68)</w:t>
            </w:r>
          </w:p>
        </w:tc>
      </w:tr>
      <w:tr w:rsidR="0089544F" w:rsidRPr="00263C50" w14:paraId="6E0DE156" w14:textId="77777777" w:rsidTr="005668E0">
        <w:trPr>
          <w:trHeight w:val="288"/>
          <w:jc w:val="center"/>
        </w:trPr>
        <w:tc>
          <w:tcPr>
            <w:tcW w:w="931" w:type="pct"/>
            <w:tcBorders>
              <w:left w:val="nil"/>
              <w:bottom w:val="nil"/>
              <w:right w:val="nil"/>
            </w:tcBorders>
            <w:shd w:val="clear" w:color="auto" w:fill="auto"/>
            <w:noWrap/>
            <w:vAlign w:val="center"/>
          </w:tcPr>
          <w:p w14:paraId="6F1C22E4"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FinLit</w:t>
            </w:r>
            <w:proofErr w:type="spellEnd"/>
          </w:p>
        </w:tc>
        <w:tc>
          <w:tcPr>
            <w:tcW w:w="814" w:type="pct"/>
            <w:tcBorders>
              <w:left w:val="nil"/>
              <w:bottom w:val="nil"/>
              <w:right w:val="nil"/>
            </w:tcBorders>
            <w:shd w:val="clear" w:color="auto" w:fill="auto"/>
            <w:noWrap/>
            <w:vAlign w:val="center"/>
          </w:tcPr>
          <w:p w14:paraId="25736AF5"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0.40***</w:t>
            </w:r>
          </w:p>
        </w:tc>
        <w:tc>
          <w:tcPr>
            <w:tcW w:w="814" w:type="pct"/>
            <w:tcBorders>
              <w:left w:val="nil"/>
              <w:bottom w:val="nil"/>
              <w:right w:val="nil"/>
            </w:tcBorders>
            <w:vAlign w:val="center"/>
          </w:tcPr>
          <w:p w14:paraId="57DB02A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814" w:type="pct"/>
            <w:tcBorders>
              <w:left w:val="nil"/>
              <w:bottom w:val="nil"/>
              <w:right w:val="nil"/>
            </w:tcBorders>
            <w:vAlign w:val="center"/>
          </w:tcPr>
          <w:p w14:paraId="0801D61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814" w:type="pct"/>
            <w:tcBorders>
              <w:left w:val="nil"/>
              <w:bottom w:val="nil"/>
              <w:right w:val="nil"/>
            </w:tcBorders>
            <w:vAlign w:val="center"/>
          </w:tcPr>
          <w:p w14:paraId="497E781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813" w:type="pct"/>
            <w:tcBorders>
              <w:left w:val="nil"/>
              <w:bottom w:val="nil"/>
              <w:right w:val="nil"/>
            </w:tcBorders>
            <w:vAlign w:val="center"/>
          </w:tcPr>
          <w:p w14:paraId="13D1AE0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0.40***</w:t>
            </w:r>
          </w:p>
        </w:tc>
      </w:tr>
      <w:tr w:rsidR="0089544F" w:rsidRPr="00263C50" w14:paraId="2366FDEE" w14:textId="77777777" w:rsidTr="005668E0">
        <w:trPr>
          <w:trHeight w:val="288"/>
          <w:jc w:val="center"/>
        </w:trPr>
        <w:tc>
          <w:tcPr>
            <w:tcW w:w="931" w:type="pct"/>
            <w:tcBorders>
              <w:top w:val="nil"/>
              <w:left w:val="nil"/>
              <w:bottom w:val="nil"/>
              <w:right w:val="nil"/>
            </w:tcBorders>
            <w:shd w:val="clear" w:color="auto" w:fill="auto"/>
            <w:noWrap/>
            <w:vAlign w:val="center"/>
          </w:tcPr>
          <w:p w14:paraId="258A932F"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814" w:type="pct"/>
            <w:tcBorders>
              <w:top w:val="nil"/>
              <w:left w:val="nil"/>
              <w:bottom w:val="nil"/>
              <w:right w:val="nil"/>
            </w:tcBorders>
            <w:shd w:val="clear" w:color="auto" w:fill="auto"/>
            <w:noWrap/>
            <w:vAlign w:val="center"/>
          </w:tcPr>
          <w:p w14:paraId="503D3E20"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(6.88)</w:t>
            </w:r>
          </w:p>
        </w:tc>
        <w:tc>
          <w:tcPr>
            <w:tcW w:w="814" w:type="pct"/>
            <w:tcBorders>
              <w:top w:val="nil"/>
              <w:left w:val="nil"/>
              <w:bottom w:val="nil"/>
              <w:right w:val="nil"/>
            </w:tcBorders>
            <w:vAlign w:val="center"/>
          </w:tcPr>
          <w:p w14:paraId="58853979" w14:textId="77777777" w:rsidR="0089544F" w:rsidRPr="00263C50" w:rsidRDefault="0089544F" w:rsidP="00186583">
            <w:pPr>
              <w:jc w:val="center"/>
              <w:rPr>
                <w:rFonts w:ascii="Times New Roman" w:hAnsi="Times New Roman" w:cs="Times New Roman"/>
                <w:color w:val="000000"/>
                <w:sz w:val="20"/>
                <w:szCs w:val="20"/>
              </w:rPr>
            </w:pPr>
          </w:p>
        </w:tc>
        <w:tc>
          <w:tcPr>
            <w:tcW w:w="814" w:type="pct"/>
            <w:tcBorders>
              <w:top w:val="nil"/>
              <w:left w:val="nil"/>
              <w:bottom w:val="nil"/>
              <w:right w:val="nil"/>
            </w:tcBorders>
            <w:vAlign w:val="center"/>
          </w:tcPr>
          <w:p w14:paraId="09FACDB9" w14:textId="77777777" w:rsidR="0089544F" w:rsidRPr="00263C50" w:rsidRDefault="0089544F" w:rsidP="00186583">
            <w:pPr>
              <w:jc w:val="center"/>
              <w:rPr>
                <w:rFonts w:ascii="Times New Roman" w:hAnsi="Times New Roman" w:cs="Times New Roman"/>
                <w:color w:val="000000"/>
                <w:sz w:val="20"/>
                <w:szCs w:val="20"/>
              </w:rPr>
            </w:pPr>
          </w:p>
        </w:tc>
        <w:tc>
          <w:tcPr>
            <w:tcW w:w="814" w:type="pct"/>
            <w:tcBorders>
              <w:top w:val="nil"/>
              <w:left w:val="nil"/>
              <w:bottom w:val="nil"/>
              <w:right w:val="nil"/>
            </w:tcBorders>
            <w:vAlign w:val="center"/>
          </w:tcPr>
          <w:p w14:paraId="75B2E1DC" w14:textId="77777777" w:rsidR="0089544F" w:rsidRPr="00263C50" w:rsidRDefault="0089544F" w:rsidP="00186583">
            <w:pPr>
              <w:jc w:val="center"/>
              <w:rPr>
                <w:rFonts w:ascii="Times New Roman" w:hAnsi="Times New Roman" w:cs="Times New Roman"/>
                <w:color w:val="000000"/>
                <w:sz w:val="20"/>
                <w:szCs w:val="20"/>
              </w:rPr>
            </w:pPr>
          </w:p>
        </w:tc>
        <w:tc>
          <w:tcPr>
            <w:tcW w:w="813" w:type="pct"/>
            <w:tcBorders>
              <w:top w:val="nil"/>
              <w:left w:val="nil"/>
              <w:bottom w:val="nil"/>
              <w:right w:val="nil"/>
            </w:tcBorders>
            <w:vAlign w:val="center"/>
          </w:tcPr>
          <w:p w14:paraId="6A8FA2D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(6.81)</w:t>
            </w:r>
          </w:p>
        </w:tc>
      </w:tr>
      <w:tr w:rsidR="0089544F" w:rsidRPr="00263C50" w14:paraId="1DE353CE" w14:textId="77777777" w:rsidTr="005668E0">
        <w:trPr>
          <w:trHeight w:val="288"/>
          <w:jc w:val="center"/>
        </w:trPr>
        <w:tc>
          <w:tcPr>
            <w:tcW w:w="931" w:type="pct"/>
            <w:tcBorders>
              <w:top w:val="nil"/>
              <w:left w:val="nil"/>
              <w:bottom w:val="nil"/>
              <w:right w:val="nil"/>
            </w:tcBorders>
            <w:shd w:val="clear" w:color="auto" w:fill="auto"/>
            <w:noWrap/>
            <w:vAlign w:val="center"/>
          </w:tcPr>
          <w:p w14:paraId="4128558C"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hAnsi="Times New Roman" w:cs="Times New Roman"/>
                <w:i/>
                <w:color w:val="000000"/>
                <w:sz w:val="20"/>
                <w:szCs w:val="20"/>
              </w:rPr>
              <w:t>Gender</w:t>
            </w:r>
          </w:p>
        </w:tc>
        <w:tc>
          <w:tcPr>
            <w:tcW w:w="814" w:type="pct"/>
            <w:tcBorders>
              <w:top w:val="nil"/>
              <w:left w:val="nil"/>
              <w:bottom w:val="nil"/>
              <w:right w:val="nil"/>
            </w:tcBorders>
            <w:shd w:val="clear" w:color="auto" w:fill="auto"/>
            <w:noWrap/>
            <w:vAlign w:val="center"/>
          </w:tcPr>
          <w:p w14:paraId="4366BDA4"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0.01</w:t>
            </w:r>
          </w:p>
        </w:tc>
        <w:tc>
          <w:tcPr>
            <w:tcW w:w="814" w:type="pct"/>
            <w:tcBorders>
              <w:top w:val="nil"/>
              <w:left w:val="nil"/>
              <w:bottom w:val="nil"/>
              <w:right w:val="nil"/>
            </w:tcBorders>
            <w:vAlign w:val="center"/>
          </w:tcPr>
          <w:p w14:paraId="578617F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0.05</w:t>
            </w:r>
          </w:p>
        </w:tc>
        <w:tc>
          <w:tcPr>
            <w:tcW w:w="814" w:type="pct"/>
            <w:tcBorders>
              <w:top w:val="nil"/>
              <w:left w:val="nil"/>
              <w:bottom w:val="nil"/>
              <w:right w:val="nil"/>
            </w:tcBorders>
            <w:vAlign w:val="center"/>
          </w:tcPr>
          <w:p w14:paraId="4E5335D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0.04</w:t>
            </w:r>
          </w:p>
        </w:tc>
        <w:tc>
          <w:tcPr>
            <w:tcW w:w="814" w:type="pct"/>
            <w:tcBorders>
              <w:top w:val="nil"/>
              <w:left w:val="nil"/>
              <w:bottom w:val="nil"/>
              <w:right w:val="nil"/>
            </w:tcBorders>
            <w:vAlign w:val="center"/>
          </w:tcPr>
          <w:p w14:paraId="6944D59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0.04</w:t>
            </w:r>
          </w:p>
        </w:tc>
        <w:tc>
          <w:tcPr>
            <w:tcW w:w="813" w:type="pct"/>
            <w:tcBorders>
              <w:top w:val="nil"/>
              <w:left w:val="nil"/>
              <w:bottom w:val="nil"/>
              <w:right w:val="nil"/>
            </w:tcBorders>
            <w:vAlign w:val="center"/>
          </w:tcPr>
          <w:p w14:paraId="10C2D7F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(0.01)</w:t>
            </w:r>
          </w:p>
        </w:tc>
      </w:tr>
      <w:tr w:rsidR="0089544F" w:rsidRPr="00263C50" w14:paraId="0EB23D7B" w14:textId="77777777" w:rsidTr="005668E0">
        <w:trPr>
          <w:trHeight w:val="288"/>
          <w:jc w:val="center"/>
        </w:trPr>
        <w:tc>
          <w:tcPr>
            <w:tcW w:w="931" w:type="pct"/>
            <w:tcBorders>
              <w:top w:val="nil"/>
              <w:left w:val="nil"/>
              <w:bottom w:val="nil"/>
              <w:right w:val="nil"/>
            </w:tcBorders>
            <w:shd w:val="clear" w:color="auto" w:fill="auto"/>
            <w:noWrap/>
            <w:vAlign w:val="center"/>
          </w:tcPr>
          <w:p w14:paraId="3512C719"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814" w:type="pct"/>
            <w:tcBorders>
              <w:top w:val="nil"/>
              <w:left w:val="nil"/>
              <w:bottom w:val="nil"/>
              <w:right w:val="nil"/>
            </w:tcBorders>
            <w:shd w:val="clear" w:color="auto" w:fill="auto"/>
            <w:noWrap/>
            <w:vAlign w:val="center"/>
          </w:tcPr>
          <w:p w14:paraId="2C6CEBF1"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(0.23)</w:t>
            </w:r>
          </w:p>
        </w:tc>
        <w:tc>
          <w:tcPr>
            <w:tcW w:w="814" w:type="pct"/>
            <w:tcBorders>
              <w:top w:val="nil"/>
              <w:left w:val="nil"/>
              <w:bottom w:val="nil"/>
              <w:right w:val="nil"/>
            </w:tcBorders>
            <w:vAlign w:val="center"/>
          </w:tcPr>
          <w:p w14:paraId="69A4389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(1.35)</w:t>
            </w:r>
          </w:p>
        </w:tc>
        <w:tc>
          <w:tcPr>
            <w:tcW w:w="814" w:type="pct"/>
            <w:tcBorders>
              <w:top w:val="nil"/>
              <w:left w:val="nil"/>
              <w:bottom w:val="nil"/>
              <w:right w:val="nil"/>
            </w:tcBorders>
            <w:vAlign w:val="center"/>
          </w:tcPr>
          <w:p w14:paraId="5C1AFF7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(1.28)</w:t>
            </w:r>
          </w:p>
        </w:tc>
        <w:tc>
          <w:tcPr>
            <w:tcW w:w="814" w:type="pct"/>
            <w:tcBorders>
              <w:top w:val="nil"/>
              <w:left w:val="nil"/>
              <w:bottom w:val="nil"/>
              <w:right w:val="nil"/>
            </w:tcBorders>
            <w:vAlign w:val="center"/>
          </w:tcPr>
          <w:p w14:paraId="12C794E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(1.25)</w:t>
            </w:r>
          </w:p>
        </w:tc>
        <w:tc>
          <w:tcPr>
            <w:tcW w:w="813" w:type="pct"/>
            <w:tcBorders>
              <w:top w:val="nil"/>
              <w:left w:val="nil"/>
              <w:bottom w:val="nil"/>
              <w:right w:val="nil"/>
            </w:tcBorders>
            <w:vAlign w:val="center"/>
          </w:tcPr>
          <w:p w14:paraId="0DA85AD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(0.27)</w:t>
            </w:r>
          </w:p>
        </w:tc>
      </w:tr>
      <w:tr w:rsidR="0089544F" w:rsidRPr="00263C50" w14:paraId="3A4E8F88" w14:textId="77777777" w:rsidTr="005668E0">
        <w:trPr>
          <w:trHeight w:val="288"/>
          <w:jc w:val="center"/>
        </w:trPr>
        <w:tc>
          <w:tcPr>
            <w:tcW w:w="931" w:type="pct"/>
            <w:tcBorders>
              <w:top w:val="nil"/>
              <w:left w:val="nil"/>
              <w:bottom w:val="nil"/>
              <w:right w:val="nil"/>
            </w:tcBorders>
            <w:shd w:val="clear" w:color="auto" w:fill="auto"/>
            <w:noWrap/>
            <w:vAlign w:val="center"/>
          </w:tcPr>
          <w:p w14:paraId="66ED5AD1"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hAnsi="Times New Roman" w:cs="Times New Roman"/>
                <w:i/>
                <w:color w:val="000000"/>
                <w:sz w:val="20"/>
                <w:szCs w:val="20"/>
              </w:rPr>
              <w:t>Age</w:t>
            </w:r>
          </w:p>
        </w:tc>
        <w:tc>
          <w:tcPr>
            <w:tcW w:w="814" w:type="pct"/>
            <w:tcBorders>
              <w:top w:val="nil"/>
              <w:left w:val="nil"/>
              <w:bottom w:val="nil"/>
              <w:right w:val="nil"/>
            </w:tcBorders>
            <w:shd w:val="clear" w:color="auto" w:fill="auto"/>
            <w:noWrap/>
            <w:vAlign w:val="center"/>
          </w:tcPr>
          <w:p w14:paraId="3AC1FA8A"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0.070***</w:t>
            </w:r>
          </w:p>
        </w:tc>
        <w:tc>
          <w:tcPr>
            <w:tcW w:w="814" w:type="pct"/>
            <w:tcBorders>
              <w:top w:val="nil"/>
              <w:left w:val="nil"/>
              <w:bottom w:val="nil"/>
              <w:right w:val="nil"/>
            </w:tcBorders>
            <w:vAlign w:val="center"/>
          </w:tcPr>
          <w:p w14:paraId="3EB5483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0.056*</w:t>
            </w:r>
          </w:p>
        </w:tc>
        <w:tc>
          <w:tcPr>
            <w:tcW w:w="814" w:type="pct"/>
            <w:tcBorders>
              <w:top w:val="nil"/>
              <w:left w:val="nil"/>
              <w:bottom w:val="nil"/>
              <w:right w:val="nil"/>
            </w:tcBorders>
            <w:vAlign w:val="center"/>
          </w:tcPr>
          <w:p w14:paraId="4BA035C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0.041</w:t>
            </w:r>
          </w:p>
        </w:tc>
        <w:tc>
          <w:tcPr>
            <w:tcW w:w="814" w:type="pct"/>
            <w:tcBorders>
              <w:top w:val="nil"/>
              <w:left w:val="nil"/>
              <w:bottom w:val="nil"/>
              <w:right w:val="nil"/>
            </w:tcBorders>
            <w:vAlign w:val="center"/>
          </w:tcPr>
          <w:p w14:paraId="5C3BFE4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0.041</w:t>
            </w:r>
          </w:p>
        </w:tc>
        <w:tc>
          <w:tcPr>
            <w:tcW w:w="813" w:type="pct"/>
            <w:tcBorders>
              <w:top w:val="nil"/>
              <w:left w:val="nil"/>
              <w:bottom w:val="nil"/>
              <w:right w:val="nil"/>
            </w:tcBorders>
            <w:vAlign w:val="center"/>
          </w:tcPr>
          <w:p w14:paraId="0497456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0.04</w:t>
            </w:r>
          </w:p>
        </w:tc>
      </w:tr>
      <w:tr w:rsidR="0089544F" w:rsidRPr="00263C50" w14:paraId="7BC13725" w14:textId="77777777" w:rsidTr="005668E0">
        <w:trPr>
          <w:trHeight w:val="288"/>
          <w:jc w:val="center"/>
        </w:trPr>
        <w:tc>
          <w:tcPr>
            <w:tcW w:w="931" w:type="pct"/>
            <w:tcBorders>
              <w:top w:val="nil"/>
              <w:left w:val="nil"/>
              <w:bottom w:val="nil"/>
              <w:right w:val="nil"/>
            </w:tcBorders>
            <w:shd w:val="clear" w:color="auto" w:fill="auto"/>
            <w:noWrap/>
            <w:vAlign w:val="center"/>
          </w:tcPr>
          <w:p w14:paraId="72E52BB2"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814" w:type="pct"/>
            <w:tcBorders>
              <w:top w:val="nil"/>
              <w:left w:val="nil"/>
              <w:bottom w:val="nil"/>
              <w:right w:val="nil"/>
            </w:tcBorders>
            <w:shd w:val="clear" w:color="auto" w:fill="auto"/>
            <w:noWrap/>
            <w:vAlign w:val="center"/>
          </w:tcPr>
          <w:p w14:paraId="5CCA3CF4"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(2.87)</w:t>
            </w:r>
          </w:p>
        </w:tc>
        <w:tc>
          <w:tcPr>
            <w:tcW w:w="814" w:type="pct"/>
            <w:tcBorders>
              <w:top w:val="nil"/>
              <w:left w:val="nil"/>
              <w:bottom w:val="nil"/>
              <w:right w:val="nil"/>
            </w:tcBorders>
            <w:vAlign w:val="center"/>
          </w:tcPr>
          <w:p w14:paraId="55914F0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(1.88)</w:t>
            </w:r>
          </w:p>
        </w:tc>
        <w:tc>
          <w:tcPr>
            <w:tcW w:w="814" w:type="pct"/>
            <w:tcBorders>
              <w:top w:val="nil"/>
              <w:left w:val="nil"/>
              <w:bottom w:val="nil"/>
              <w:right w:val="nil"/>
            </w:tcBorders>
            <w:vAlign w:val="center"/>
          </w:tcPr>
          <w:p w14:paraId="4292B3F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(1.29)</w:t>
            </w:r>
          </w:p>
        </w:tc>
        <w:tc>
          <w:tcPr>
            <w:tcW w:w="814" w:type="pct"/>
            <w:tcBorders>
              <w:top w:val="nil"/>
              <w:left w:val="nil"/>
              <w:bottom w:val="nil"/>
              <w:right w:val="nil"/>
            </w:tcBorders>
            <w:vAlign w:val="center"/>
          </w:tcPr>
          <w:p w14:paraId="110DCE9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(1.36)</w:t>
            </w:r>
          </w:p>
        </w:tc>
        <w:tc>
          <w:tcPr>
            <w:tcW w:w="813" w:type="pct"/>
            <w:tcBorders>
              <w:top w:val="nil"/>
              <w:left w:val="nil"/>
              <w:bottom w:val="nil"/>
              <w:right w:val="nil"/>
            </w:tcBorders>
            <w:vAlign w:val="center"/>
          </w:tcPr>
          <w:p w14:paraId="59BB268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(1.62)</w:t>
            </w:r>
          </w:p>
        </w:tc>
      </w:tr>
      <w:tr w:rsidR="0089544F" w:rsidRPr="00263C50" w14:paraId="014FDA02" w14:textId="77777777" w:rsidTr="005668E0">
        <w:trPr>
          <w:trHeight w:val="288"/>
          <w:jc w:val="center"/>
        </w:trPr>
        <w:tc>
          <w:tcPr>
            <w:tcW w:w="931" w:type="pct"/>
            <w:tcBorders>
              <w:top w:val="nil"/>
              <w:left w:val="nil"/>
              <w:bottom w:val="nil"/>
              <w:right w:val="nil"/>
            </w:tcBorders>
            <w:shd w:val="clear" w:color="auto" w:fill="auto"/>
            <w:noWrap/>
            <w:vAlign w:val="center"/>
          </w:tcPr>
          <w:p w14:paraId="3E6D7230"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WrkExp</w:t>
            </w:r>
            <w:proofErr w:type="spellEnd"/>
          </w:p>
        </w:tc>
        <w:tc>
          <w:tcPr>
            <w:tcW w:w="814" w:type="pct"/>
            <w:tcBorders>
              <w:top w:val="nil"/>
              <w:left w:val="nil"/>
              <w:bottom w:val="nil"/>
              <w:right w:val="nil"/>
            </w:tcBorders>
            <w:shd w:val="clear" w:color="auto" w:fill="auto"/>
            <w:noWrap/>
            <w:vAlign w:val="center"/>
          </w:tcPr>
          <w:p w14:paraId="07C27D13"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-0.072**</w:t>
            </w:r>
          </w:p>
        </w:tc>
        <w:tc>
          <w:tcPr>
            <w:tcW w:w="814" w:type="pct"/>
            <w:tcBorders>
              <w:top w:val="nil"/>
              <w:left w:val="nil"/>
              <w:bottom w:val="nil"/>
              <w:right w:val="nil"/>
            </w:tcBorders>
            <w:vAlign w:val="center"/>
          </w:tcPr>
          <w:p w14:paraId="4B44E90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-0.099**</w:t>
            </w:r>
          </w:p>
        </w:tc>
        <w:tc>
          <w:tcPr>
            <w:tcW w:w="814" w:type="pct"/>
            <w:tcBorders>
              <w:top w:val="nil"/>
              <w:left w:val="nil"/>
              <w:bottom w:val="nil"/>
              <w:right w:val="nil"/>
            </w:tcBorders>
            <w:vAlign w:val="center"/>
          </w:tcPr>
          <w:p w14:paraId="2DAC114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-0.095**</w:t>
            </w:r>
          </w:p>
        </w:tc>
        <w:tc>
          <w:tcPr>
            <w:tcW w:w="814" w:type="pct"/>
            <w:tcBorders>
              <w:top w:val="nil"/>
              <w:left w:val="nil"/>
              <w:bottom w:val="nil"/>
              <w:right w:val="nil"/>
            </w:tcBorders>
            <w:vAlign w:val="center"/>
          </w:tcPr>
          <w:p w14:paraId="3D1E931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-0.10***</w:t>
            </w:r>
          </w:p>
        </w:tc>
        <w:tc>
          <w:tcPr>
            <w:tcW w:w="813" w:type="pct"/>
            <w:tcBorders>
              <w:top w:val="nil"/>
              <w:left w:val="nil"/>
              <w:bottom w:val="nil"/>
              <w:right w:val="nil"/>
            </w:tcBorders>
            <w:vAlign w:val="center"/>
          </w:tcPr>
          <w:p w14:paraId="58FD1D0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-0.084**</w:t>
            </w:r>
          </w:p>
        </w:tc>
      </w:tr>
      <w:tr w:rsidR="0089544F" w:rsidRPr="00263C50" w14:paraId="1803A30D" w14:textId="77777777" w:rsidTr="005668E0">
        <w:trPr>
          <w:trHeight w:val="288"/>
          <w:jc w:val="center"/>
        </w:trPr>
        <w:tc>
          <w:tcPr>
            <w:tcW w:w="931" w:type="pct"/>
            <w:tcBorders>
              <w:top w:val="nil"/>
              <w:left w:val="nil"/>
              <w:bottom w:val="nil"/>
              <w:right w:val="nil"/>
            </w:tcBorders>
            <w:shd w:val="clear" w:color="auto" w:fill="auto"/>
            <w:noWrap/>
            <w:vAlign w:val="center"/>
          </w:tcPr>
          <w:p w14:paraId="6F6B3C3D"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814" w:type="pct"/>
            <w:tcBorders>
              <w:top w:val="nil"/>
              <w:left w:val="nil"/>
              <w:bottom w:val="nil"/>
              <w:right w:val="nil"/>
            </w:tcBorders>
            <w:shd w:val="clear" w:color="auto" w:fill="auto"/>
            <w:noWrap/>
            <w:vAlign w:val="center"/>
          </w:tcPr>
          <w:p w14:paraId="7FF2F53B"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(2.14)</w:t>
            </w:r>
          </w:p>
        </w:tc>
        <w:tc>
          <w:tcPr>
            <w:tcW w:w="814" w:type="pct"/>
            <w:tcBorders>
              <w:top w:val="nil"/>
              <w:left w:val="nil"/>
              <w:bottom w:val="nil"/>
              <w:right w:val="nil"/>
            </w:tcBorders>
            <w:vAlign w:val="center"/>
          </w:tcPr>
          <w:p w14:paraId="26B6D49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(2.54)</w:t>
            </w:r>
          </w:p>
        </w:tc>
        <w:tc>
          <w:tcPr>
            <w:tcW w:w="814" w:type="pct"/>
            <w:tcBorders>
              <w:top w:val="nil"/>
              <w:left w:val="nil"/>
              <w:bottom w:val="nil"/>
              <w:right w:val="nil"/>
            </w:tcBorders>
            <w:vAlign w:val="center"/>
          </w:tcPr>
          <w:p w14:paraId="4F067DF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(2.56)</w:t>
            </w:r>
          </w:p>
        </w:tc>
        <w:tc>
          <w:tcPr>
            <w:tcW w:w="814" w:type="pct"/>
            <w:tcBorders>
              <w:top w:val="nil"/>
              <w:left w:val="nil"/>
              <w:bottom w:val="nil"/>
              <w:right w:val="nil"/>
            </w:tcBorders>
            <w:vAlign w:val="center"/>
          </w:tcPr>
          <w:p w14:paraId="471A85A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(2.64)</w:t>
            </w:r>
          </w:p>
        </w:tc>
        <w:tc>
          <w:tcPr>
            <w:tcW w:w="813" w:type="pct"/>
            <w:tcBorders>
              <w:top w:val="nil"/>
              <w:left w:val="nil"/>
              <w:bottom w:val="nil"/>
              <w:right w:val="nil"/>
            </w:tcBorders>
            <w:vAlign w:val="center"/>
          </w:tcPr>
          <w:p w14:paraId="5F854DB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(2.53)</w:t>
            </w:r>
          </w:p>
        </w:tc>
      </w:tr>
      <w:tr w:rsidR="0089544F" w:rsidRPr="00263C50" w14:paraId="603EBDC8" w14:textId="77777777" w:rsidTr="005668E0">
        <w:trPr>
          <w:trHeight w:val="288"/>
          <w:jc w:val="center"/>
        </w:trPr>
        <w:tc>
          <w:tcPr>
            <w:tcW w:w="931" w:type="pct"/>
            <w:tcBorders>
              <w:top w:val="nil"/>
              <w:left w:val="nil"/>
              <w:bottom w:val="nil"/>
              <w:right w:val="nil"/>
            </w:tcBorders>
            <w:shd w:val="clear" w:color="auto" w:fill="auto"/>
            <w:noWrap/>
            <w:vAlign w:val="center"/>
          </w:tcPr>
          <w:p w14:paraId="5E92F254"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PaperFile</w:t>
            </w:r>
            <w:proofErr w:type="spellEnd"/>
          </w:p>
        </w:tc>
        <w:tc>
          <w:tcPr>
            <w:tcW w:w="814" w:type="pct"/>
            <w:tcBorders>
              <w:top w:val="nil"/>
              <w:left w:val="nil"/>
              <w:bottom w:val="nil"/>
              <w:right w:val="nil"/>
            </w:tcBorders>
            <w:shd w:val="clear" w:color="auto" w:fill="auto"/>
            <w:noWrap/>
            <w:vAlign w:val="center"/>
          </w:tcPr>
          <w:p w14:paraId="46675ABB"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-0.018</w:t>
            </w:r>
          </w:p>
        </w:tc>
        <w:tc>
          <w:tcPr>
            <w:tcW w:w="814" w:type="pct"/>
            <w:tcBorders>
              <w:top w:val="nil"/>
              <w:left w:val="nil"/>
              <w:bottom w:val="nil"/>
              <w:right w:val="nil"/>
            </w:tcBorders>
            <w:vAlign w:val="center"/>
          </w:tcPr>
          <w:p w14:paraId="0610861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0.042</w:t>
            </w:r>
          </w:p>
        </w:tc>
        <w:tc>
          <w:tcPr>
            <w:tcW w:w="814" w:type="pct"/>
            <w:tcBorders>
              <w:top w:val="nil"/>
              <w:left w:val="nil"/>
              <w:bottom w:val="nil"/>
              <w:right w:val="nil"/>
            </w:tcBorders>
            <w:vAlign w:val="center"/>
          </w:tcPr>
          <w:p w14:paraId="42F4BEC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0.064</w:t>
            </w:r>
          </w:p>
        </w:tc>
        <w:tc>
          <w:tcPr>
            <w:tcW w:w="814" w:type="pct"/>
            <w:tcBorders>
              <w:top w:val="nil"/>
              <w:left w:val="nil"/>
              <w:bottom w:val="nil"/>
              <w:right w:val="nil"/>
            </w:tcBorders>
            <w:vAlign w:val="center"/>
          </w:tcPr>
          <w:p w14:paraId="4247A86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0.059</w:t>
            </w:r>
          </w:p>
        </w:tc>
        <w:tc>
          <w:tcPr>
            <w:tcW w:w="813" w:type="pct"/>
            <w:tcBorders>
              <w:top w:val="nil"/>
              <w:left w:val="nil"/>
              <w:bottom w:val="nil"/>
              <w:right w:val="nil"/>
            </w:tcBorders>
            <w:vAlign w:val="center"/>
          </w:tcPr>
          <w:p w14:paraId="5213E4D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0.003</w:t>
            </w:r>
          </w:p>
        </w:tc>
      </w:tr>
      <w:tr w:rsidR="0089544F" w:rsidRPr="00263C50" w14:paraId="3A3CA97A" w14:textId="77777777" w:rsidTr="005668E0">
        <w:trPr>
          <w:trHeight w:val="288"/>
          <w:jc w:val="center"/>
        </w:trPr>
        <w:tc>
          <w:tcPr>
            <w:tcW w:w="931" w:type="pct"/>
            <w:tcBorders>
              <w:top w:val="nil"/>
              <w:left w:val="nil"/>
              <w:bottom w:val="nil"/>
              <w:right w:val="nil"/>
            </w:tcBorders>
            <w:shd w:val="clear" w:color="auto" w:fill="auto"/>
            <w:noWrap/>
            <w:vAlign w:val="center"/>
          </w:tcPr>
          <w:p w14:paraId="62038BE7"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814" w:type="pct"/>
            <w:tcBorders>
              <w:top w:val="nil"/>
              <w:left w:val="nil"/>
              <w:bottom w:val="nil"/>
              <w:right w:val="nil"/>
            </w:tcBorders>
            <w:shd w:val="clear" w:color="auto" w:fill="auto"/>
            <w:noWrap/>
            <w:vAlign w:val="center"/>
          </w:tcPr>
          <w:p w14:paraId="3D1B0C7D"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(0.30)</w:t>
            </w:r>
          </w:p>
        </w:tc>
        <w:tc>
          <w:tcPr>
            <w:tcW w:w="814" w:type="pct"/>
            <w:tcBorders>
              <w:top w:val="nil"/>
              <w:left w:val="nil"/>
              <w:bottom w:val="nil"/>
              <w:right w:val="nil"/>
            </w:tcBorders>
            <w:vAlign w:val="center"/>
          </w:tcPr>
          <w:p w14:paraId="51BADCA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(0.63)</w:t>
            </w:r>
          </w:p>
        </w:tc>
        <w:tc>
          <w:tcPr>
            <w:tcW w:w="814" w:type="pct"/>
            <w:tcBorders>
              <w:top w:val="nil"/>
              <w:left w:val="nil"/>
              <w:bottom w:val="nil"/>
              <w:right w:val="nil"/>
            </w:tcBorders>
            <w:vAlign w:val="center"/>
          </w:tcPr>
          <w:p w14:paraId="08AF797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(0.98)</w:t>
            </w:r>
          </w:p>
        </w:tc>
        <w:tc>
          <w:tcPr>
            <w:tcW w:w="814" w:type="pct"/>
            <w:tcBorders>
              <w:top w:val="nil"/>
              <w:left w:val="nil"/>
              <w:bottom w:val="nil"/>
              <w:right w:val="nil"/>
            </w:tcBorders>
            <w:vAlign w:val="center"/>
          </w:tcPr>
          <w:p w14:paraId="4ED4783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(0.90)</w:t>
            </w:r>
          </w:p>
        </w:tc>
        <w:tc>
          <w:tcPr>
            <w:tcW w:w="813" w:type="pct"/>
            <w:tcBorders>
              <w:top w:val="nil"/>
              <w:left w:val="nil"/>
              <w:bottom w:val="nil"/>
              <w:right w:val="nil"/>
            </w:tcBorders>
            <w:vAlign w:val="center"/>
          </w:tcPr>
          <w:p w14:paraId="4813CA1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(0.05)</w:t>
            </w:r>
          </w:p>
        </w:tc>
      </w:tr>
      <w:tr w:rsidR="0089544F" w:rsidRPr="00263C50" w14:paraId="7CD05759" w14:textId="77777777" w:rsidTr="005668E0">
        <w:trPr>
          <w:trHeight w:val="288"/>
          <w:jc w:val="center"/>
        </w:trPr>
        <w:tc>
          <w:tcPr>
            <w:tcW w:w="931" w:type="pct"/>
            <w:tcBorders>
              <w:top w:val="nil"/>
              <w:left w:val="nil"/>
              <w:bottom w:val="nil"/>
              <w:right w:val="nil"/>
            </w:tcBorders>
            <w:shd w:val="clear" w:color="auto" w:fill="auto"/>
            <w:noWrap/>
            <w:vAlign w:val="center"/>
          </w:tcPr>
          <w:p w14:paraId="443E6DFC"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SoftwareFile</w:t>
            </w:r>
            <w:proofErr w:type="spellEnd"/>
          </w:p>
        </w:tc>
        <w:tc>
          <w:tcPr>
            <w:tcW w:w="814" w:type="pct"/>
            <w:tcBorders>
              <w:top w:val="nil"/>
              <w:left w:val="nil"/>
              <w:bottom w:val="nil"/>
              <w:right w:val="nil"/>
            </w:tcBorders>
            <w:shd w:val="clear" w:color="auto" w:fill="auto"/>
            <w:noWrap/>
            <w:vAlign w:val="center"/>
          </w:tcPr>
          <w:p w14:paraId="2A0E2D06"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0.074*</w:t>
            </w:r>
          </w:p>
        </w:tc>
        <w:tc>
          <w:tcPr>
            <w:tcW w:w="814" w:type="pct"/>
            <w:tcBorders>
              <w:top w:val="nil"/>
              <w:left w:val="nil"/>
              <w:bottom w:val="nil"/>
              <w:right w:val="nil"/>
            </w:tcBorders>
            <w:vAlign w:val="center"/>
          </w:tcPr>
          <w:p w14:paraId="7CE1F5C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0.091**</w:t>
            </w:r>
          </w:p>
        </w:tc>
        <w:tc>
          <w:tcPr>
            <w:tcW w:w="814" w:type="pct"/>
            <w:tcBorders>
              <w:top w:val="nil"/>
              <w:left w:val="nil"/>
              <w:bottom w:val="nil"/>
              <w:right w:val="nil"/>
            </w:tcBorders>
            <w:vAlign w:val="center"/>
          </w:tcPr>
          <w:p w14:paraId="039FA34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0.096**</w:t>
            </w:r>
          </w:p>
        </w:tc>
        <w:tc>
          <w:tcPr>
            <w:tcW w:w="814" w:type="pct"/>
            <w:tcBorders>
              <w:top w:val="nil"/>
              <w:left w:val="nil"/>
              <w:bottom w:val="nil"/>
              <w:right w:val="nil"/>
            </w:tcBorders>
            <w:vAlign w:val="center"/>
          </w:tcPr>
          <w:p w14:paraId="1E477A3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0.091**</w:t>
            </w:r>
          </w:p>
        </w:tc>
        <w:tc>
          <w:tcPr>
            <w:tcW w:w="813" w:type="pct"/>
            <w:tcBorders>
              <w:top w:val="nil"/>
              <w:left w:val="nil"/>
              <w:bottom w:val="nil"/>
              <w:right w:val="nil"/>
            </w:tcBorders>
            <w:vAlign w:val="center"/>
          </w:tcPr>
          <w:p w14:paraId="3727616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0.070*</w:t>
            </w:r>
          </w:p>
        </w:tc>
      </w:tr>
      <w:tr w:rsidR="0089544F" w:rsidRPr="00263C50" w14:paraId="1724B4F6" w14:textId="77777777" w:rsidTr="005668E0">
        <w:trPr>
          <w:trHeight w:val="288"/>
          <w:jc w:val="center"/>
        </w:trPr>
        <w:tc>
          <w:tcPr>
            <w:tcW w:w="931" w:type="pct"/>
            <w:tcBorders>
              <w:top w:val="nil"/>
              <w:left w:val="nil"/>
              <w:bottom w:val="nil"/>
              <w:right w:val="nil"/>
            </w:tcBorders>
            <w:shd w:val="clear" w:color="auto" w:fill="auto"/>
            <w:noWrap/>
            <w:vAlign w:val="center"/>
          </w:tcPr>
          <w:p w14:paraId="5FB3F49B"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814" w:type="pct"/>
            <w:tcBorders>
              <w:top w:val="nil"/>
              <w:left w:val="nil"/>
              <w:bottom w:val="nil"/>
              <w:right w:val="nil"/>
            </w:tcBorders>
            <w:shd w:val="clear" w:color="auto" w:fill="auto"/>
            <w:noWrap/>
            <w:vAlign w:val="center"/>
          </w:tcPr>
          <w:p w14:paraId="15BBC124"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(1.88)</w:t>
            </w:r>
          </w:p>
        </w:tc>
        <w:tc>
          <w:tcPr>
            <w:tcW w:w="814" w:type="pct"/>
            <w:tcBorders>
              <w:top w:val="nil"/>
              <w:left w:val="nil"/>
              <w:bottom w:val="nil"/>
              <w:right w:val="nil"/>
            </w:tcBorders>
            <w:vAlign w:val="center"/>
          </w:tcPr>
          <w:p w14:paraId="5EED4BF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(2.10)</w:t>
            </w:r>
          </w:p>
        </w:tc>
        <w:tc>
          <w:tcPr>
            <w:tcW w:w="814" w:type="pct"/>
            <w:tcBorders>
              <w:top w:val="nil"/>
              <w:left w:val="nil"/>
              <w:bottom w:val="nil"/>
              <w:right w:val="nil"/>
            </w:tcBorders>
            <w:vAlign w:val="center"/>
          </w:tcPr>
          <w:p w14:paraId="5087D39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(2.34)</w:t>
            </w:r>
          </w:p>
        </w:tc>
        <w:tc>
          <w:tcPr>
            <w:tcW w:w="814" w:type="pct"/>
            <w:tcBorders>
              <w:top w:val="nil"/>
              <w:left w:val="nil"/>
              <w:bottom w:val="nil"/>
              <w:right w:val="nil"/>
            </w:tcBorders>
            <w:vAlign w:val="center"/>
          </w:tcPr>
          <w:p w14:paraId="05CD1CA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(2.14)</w:t>
            </w:r>
          </w:p>
        </w:tc>
        <w:tc>
          <w:tcPr>
            <w:tcW w:w="813" w:type="pct"/>
            <w:tcBorders>
              <w:top w:val="nil"/>
              <w:left w:val="nil"/>
              <w:bottom w:val="nil"/>
              <w:right w:val="nil"/>
            </w:tcBorders>
            <w:vAlign w:val="center"/>
          </w:tcPr>
          <w:p w14:paraId="28D1E40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(1.82)</w:t>
            </w:r>
          </w:p>
        </w:tc>
      </w:tr>
      <w:tr w:rsidR="0089544F" w:rsidRPr="00263C50" w14:paraId="46E8F4BD" w14:textId="77777777" w:rsidTr="005668E0">
        <w:trPr>
          <w:trHeight w:val="288"/>
          <w:jc w:val="center"/>
        </w:trPr>
        <w:tc>
          <w:tcPr>
            <w:tcW w:w="931" w:type="pct"/>
            <w:tcBorders>
              <w:top w:val="nil"/>
              <w:left w:val="nil"/>
              <w:bottom w:val="nil"/>
              <w:right w:val="nil"/>
            </w:tcBorders>
            <w:shd w:val="clear" w:color="auto" w:fill="auto"/>
            <w:noWrap/>
            <w:vAlign w:val="center"/>
          </w:tcPr>
          <w:p w14:paraId="763EF67D"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ProfFile</w:t>
            </w:r>
            <w:proofErr w:type="spellEnd"/>
          </w:p>
        </w:tc>
        <w:tc>
          <w:tcPr>
            <w:tcW w:w="814" w:type="pct"/>
            <w:tcBorders>
              <w:top w:val="nil"/>
              <w:left w:val="nil"/>
              <w:bottom w:val="nil"/>
              <w:right w:val="nil"/>
            </w:tcBorders>
            <w:shd w:val="clear" w:color="auto" w:fill="auto"/>
            <w:noWrap/>
            <w:vAlign w:val="center"/>
          </w:tcPr>
          <w:p w14:paraId="6883114B"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0.019</w:t>
            </w:r>
          </w:p>
        </w:tc>
        <w:tc>
          <w:tcPr>
            <w:tcW w:w="814" w:type="pct"/>
            <w:tcBorders>
              <w:top w:val="nil"/>
              <w:left w:val="nil"/>
              <w:bottom w:val="nil"/>
              <w:right w:val="nil"/>
            </w:tcBorders>
            <w:vAlign w:val="center"/>
          </w:tcPr>
          <w:p w14:paraId="073B5C1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0.058</w:t>
            </w:r>
          </w:p>
        </w:tc>
        <w:tc>
          <w:tcPr>
            <w:tcW w:w="814" w:type="pct"/>
            <w:tcBorders>
              <w:top w:val="nil"/>
              <w:left w:val="nil"/>
              <w:bottom w:val="nil"/>
              <w:right w:val="nil"/>
            </w:tcBorders>
            <w:vAlign w:val="center"/>
          </w:tcPr>
          <w:p w14:paraId="0B47A84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0.054</w:t>
            </w:r>
          </w:p>
        </w:tc>
        <w:tc>
          <w:tcPr>
            <w:tcW w:w="814" w:type="pct"/>
            <w:tcBorders>
              <w:top w:val="nil"/>
              <w:left w:val="nil"/>
              <w:bottom w:val="nil"/>
              <w:right w:val="nil"/>
            </w:tcBorders>
            <w:vAlign w:val="center"/>
          </w:tcPr>
          <w:p w14:paraId="570F9D2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0.059</w:t>
            </w:r>
          </w:p>
        </w:tc>
        <w:tc>
          <w:tcPr>
            <w:tcW w:w="813" w:type="pct"/>
            <w:tcBorders>
              <w:top w:val="nil"/>
              <w:left w:val="nil"/>
              <w:bottom w:val="nil"/>
              <w:right w:val="nil"/>
            </w:tcBorders>
            <w:vAlign w:val="center"/>
          </w:tcPr>
          <w:p w14:paraId="0D0D00E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0.025</w:t>
            </w:r>
          </w:p>
        </w:tc>
      </w:tr>
      <w:tr w:rsidR="0089544F" w:rsidRPr="00263C50" w14:paraId="73BA696C" w14:textId="77777777" w:rsidTr="005668E0">
        <w:trPr>
          <w:trHeight w:val="288"/>
          <w:jc w:val="center"/>
        </w:trPr>
        <w:tc>
          <w:tcPr>
            <w:tcW w:w="931" w:type="pct"/>
            <w:tcBorders>
              <w:top w:val="nil"/>
              <w:left w:val="nil"/>
              <w:bottom w:val="nil"/>
              <w:right w:val="nil"/>
            </w:tcBorders>
            <w:shd w:val="clear" w:color="auto" w:fill="auto"/>
            <w:noWrap/>
            <w:vAlign w:val="center"/>
          </w:tcPr>
          <w:p w14:paraId="7201C76E"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814" w:type="pct"/>
            <w:tcBorders>
              <w:top w:val="nil"/>
              <w:left w:val="nil"/>
              <w:bottom w:val="nil"/>
              <w:right w:val="nil"/>
            </w:tcBorders>
            <w:shd w:val="clear" w:color="auto" w:fill="auto"/>
            <w:noWrap/>
            <w:vAlign w:val="center"/>
          </w:tcPr>
          <w:p w14:paraId="494CBFD2"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(0.40)</w:t>
            </w:r>
          </w:p>
        </w:tc>
        <w:tc>
          <w:tcPr>
            <w:tcW w:w="814" w:type="pct"/>
            <w:tcBorders>
              <w:top w:val="nil"/>
              <w:left w:val="nil"/>
              <w:bottom w:val="nil"/>
              <w:right w:val="nil"/>
            </w:tcBorders>
            <w:vAlign w:val="center"/>
          </w:tcPr>
          <w:p w14:paraId="2067B4A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(0.99)</w:t>
            </w:r>
          </w:p>
        </w:tc>
        <w:tc>
          <w:tcPr>
            <w:tcW w:w="814" w:type="pct"/>
            <w:tcBorders>
              <w:top w:val="nil"/>
              <w:left w:val="nil"/>
              <w:bottom w:val="nil"/>
              <w:right w:val="nil"/>
            </w:tcBorders>
            <w:vAlign w:val="center"/>
          </w:tcPr>
          <w:p w14:paraId="458B457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(0.92)</w:t>
            </w:r>
          </w:p>
        </w:tc>
        <w:tc>
          <w:tcPr>
            <w:tcW w:w="814" w:type="pct"/>
            <w:tcBorders>
              <w:top w:val="nil"/>
              <w:left w:val="nil"/>
              <w:bottom w:val="nil"/>
              <w:right w:val="nil"/>
            </w:tcBorders>
            <w:vAlign w:val="center"/>
          </w:tcPr>
          <w:p w14:paraId="0AF3A57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(1.00)</w:t>
            </w:r>
          </w:p>
        </w:tc>
        <w:tc>
          <w:tcPr>
            <w:tcW w:w="813" w:type="pct"/>
            <w:tcBorders>
              <w:top w:val="nil"/>
              <w:left w:val="nil"/>
              <w:bottom w:val="nil"/>
              <w:right w:val="nil"/>
            </w:tcBorders>
            <w:vAlign w:val="center"/>
          </w:tcPr>
          <w:p w14:paraId="401EAC0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(0.57)</w:t>
            </w:r>
          </w:p>
        </w:tc>
      </w:tr>
      <w:tr w:rsidR="0089544F" w:rsidRPr="00263C50" w14:paraId="4F57FC37" w14:textId="77777777" w:rsidTr="005668E0">
        <w:trPr>
          <w:trHeight w:val="288"/>
          <w:jc w:val="center"/>
        </w:trPr>
        <w:tc>
          <w:tcPr>
            <w:tcW w:w="931" w:type="pct"/>
            <w:tcBorders>
              <w:top w:val="nil"/>
              <w:left w:val="nil"/>
              <w:bottom w:val="nil"/>
              <w:right w:val="nil"/>
            </w:tcBorders>
            <w:shd w:val="clear" w:color="auto" w:fill="auto"/>
            <w:noWrap/>
            <w:vAlign w:val="center"/>
          </w:tcPr>
          <w:p w14:paraId="516B4F1E"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ParentFile</w:t>
            </w:r>
            <w:proofErr w:type="spellEnd"/>
          </w:p>
        </w:tc>
        <w:tc>
          <w:tcPr>
            <w:tcW w:w="814" w:type="pct"/>
            <w:tcBorders>
              <w:top w:val="nil"/>
              <w:left w:val="nil"/>
              <w:bottom w:val="nil"/>
              <w:right w:val="nil"/>
            </w:tcBorders>
            <w:shd w:val="clear" w:color="auto" w:fill="auto"/>
            <w:noWrap/>
            <w:vAlign w:val="center"/>
          </w:tcPr>
          <w:p w14:paraId="1CC7078B"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0.016</w:t>
            </w:r>
          </w:p>
        </w:tc>
        <w:tc>
          <w:tcPr>
            <w:tcW w:w="814" w:type="pct"/>
            <w:tcBorders>
              <w:top w:val="nil"/>
              <w:left w:val="nil"/>
              <w:bottom w:val="nil"/>
              <w:right w:val="nil"/>
            </w:tcBorders>
            <w:vAlign w:val="center"/>
          </w:tcPr>
          <w:p w14:paraId="1A792A9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0.054</w:t>
            </w:r>
          </w:p>
        </w:tc>
        <w:tc>
          <w:tcPr>
            <w:tcW w:w="814" w:type="pct"/>
            <w:tcBorders>
              <w:top w:val="nil"/>
              <w:left w:val="nil"/>
              <w:bottom w:val="nil"/>
              <w:right w:val="nil"/>
            </w:tcBorders>
            <w:vAlign w:val="center"/>
          </w:tcPr>
          <w:p w14:paraId="3563236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0.057</w:t>
            </w:r>
          </w:p>
        </w:tc>
        <w:tc>
          <w:tcPr>
            <w:tcW w:w="814" w:type="pct"/>
            <w:tcBorders>
              <w:top w:val="nil"/>
              <w:left w:val="nil"/>
              <w:bottom w:val="nil"/>
              <w:right w:val="nil"/>
            </w:tcBorders>
            <w:vAlign w:val="center"/>
          </w:tcPr>
          <w:p w14:paraId="375192F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0.062</w:t>
            </w:r>
          </w:p>
        </w:tc>
        <w:tc>
          <w:tcPr>
            <w:tcW w:w="813" w:type="pct"/>
            <w:tcBorders>
              <w:top w:val="nil"/>
              <w:left w:val="nil"/>
              <w:bottom w:val="nil"/>
              <w:right w:val="nil"/>
            </w:tcBorders>
            <w:vAlign w:val="center"/>
          </w:tcPr>
          <w:p w14:paraId="4F7ED25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0.031</w:t>
            </w:r>
          </w:p>
        </w:tc>
      </w:tr>
      <w:tr w:rsidR="0089544F" w:rsidRPr="00263C50" w14:paraId="69FA2B26" w14:textId="77777777" w:rsidTr="005668E0">
        <w:trPr>
          <w:trHeight w:val="288"/>
          <w:jc w:val="center"/>
        </w:trPr>
        <w:tc>
          <w:tcPr>
            <w:tcW w:w="931" w:type="pct"/>
            <w:tcBorders>
              <w:top w:val="nil"/>
              <w:left w:val="nil"/>
              <w:bottom w:val="nil"/>
              <w:right w:val="nil"/>
            </w:tcBorders>
            <w:shd w:val="clear" w:color="auto" w:fill="auto"/>
            <w:noWrap/>
            <w:vAlign w:val="center"/>
          </w:tcPr>
          <w:p w14:paraId="7D73B50D"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814" w:type="pct"/>
            <w:tcBorders>
              <w:top w:val="nil"/>
              <w:left w:val="nil"/>
              <w:bottom w:val="nil"/>
              <w:right w:val="nil"/>
            </w:tcBorders>
            <w:shd w:val="clear" w:color="auto" w:fill="auto"/>
            <w:noWrap/>
            <w:vAlign w:val="center"/>
          </w:tcPr>
          <w:p w14:paraId="5AF5A337"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(0.45)</w:t>
            </w:r>
          </w:p>
        </w:tc>
        <w:tc>
          <w:tcPr>
            <w:tcW w:w="814" w:type="pct"/>
            <w:tcBorders>
              <w:top w:val="nil"/>
              <w:left w:val="nil"/>
              <w:bottom w:val="nil"/>
              <w:right w:val="nil"/>
            </w:tcBorders>
            <w:vAlign w:val="center"/>
          </w:tcPr>
          <w:p w14:paraId="1C83599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(1.42)</w:t>
            </w:r>
          </w:p>
        </w:tc>
        <w:tc>
          <w:tcPr>
            <w:tcW w:w="814" w:type="pct"/>
            <w:tcBorders>
              <w:top w:val="nil"/>
              <w:left w:val="nil"/>
              <w:bottom w:val="nil"/>
              <w:right w:val="nil"/>
            </w:tcBorders>
            <w:vAlign w:val="center"/>
          </w:tcPr>
          <w:p w14:paraId="76118D5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(1.52)</w:t>
            </w:r>
          </w:p>
        </w:tc>
        <w:tc>
          <w:tcPr>
            <w:tcW w:w="814" w:type="pct"/>
            <w:tcBorders>
              <w:top w:val="nil"/>
              <w:left w:val="nil"/>
              <w:bottom w:val="nil"/>
              <w:right w:val="nil"/>
            </w:tcBorders>
            <w:vAlign w:val="center"/>
          </w:tcPr>
          <w:p w14:paraId="1A680A0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(1.61)</w:t>
            </w:r>
          </w:p>
        </w:tc>
        <w:tc>
          <w:tcPr>
            <w:tcW w:w="813" w:type="pct"/>
            <w:tcBorders>
              <w:top w:val="nil"/>
              <w:left w:val="nil"/>
              <w:bottom w:val="nil"/>
              <w:right w:val="nil"/>
            </w:tcBorders>
            <w:vAlign w:val="center"/>
          </w:tcPr>
          <w:p w14:paraId="2454F2F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(0.86)</w:t>
            </w:r>
          </w:p>
        </w:tc>
      </w:tr>
      <w:tr w:rsidR="0089544F" w:rsidRPr="00263C50" w14:paraId="7921DD37" w14:textId="77777777" w:rsidTr="005668E0">
        <w:trPr>
          <w:trHeight w:val="288"/>
          <w:jc w:val="center"/>
        </w:trPr>
        <w:tc>
          <w:tcPr>
            <w:tcW w:w="931" w:type="pct"/>
            <w:tcBorders>
              <w:top w:val="nil"/>
              <w:left w:val="nil"/>
              <w:bottom w:val="nil"/>
              <w:right w:val="nil"/>
            </w:tcBorders>
            <w:shd w:val="clear" w:color="auto" w:fill="auto"/>
            <w:noWrap/>
            <w:vAlign w:val="center"/>
          </w:tcPr>
          <w:p w14:paraId="3D5631D6"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hAnsi="Times New Roman" w:cs="Times New Roman"/>
                <w:i/>
                <w:color w:val="000000"/>
                <w:sz w:val="20"/>
                <w:szCs w:val="20"/>
              </w:rPr>
              <w:t>Family</w:t>
            </w:r>
          </w:p>
        </w:tc>
        <w:tc>
          <w:tcPr>
            <w:tcW w:w="814" w:type="pct"/>
            <w:tcBorders>
              <w:top w:val="nil"/>
              <w:left w:val="nil"/>
              <w:bottom w:val="nil"/>
              <w:right w:val="nil"/>
            </w:tcBorders>
            <w:shd w:val="clear" w:color="auto" w:fill="auto"/>
            <w:noWrap/>
            <w:vAlign w:val="center"/>
          </w:tcPr>
          <w:p w14:paraId="2EC2C133"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0.02</w:t>
            </w:r>
          </w:p>
        </w:tc>
        <w:tc>
          <w:tcPr>
            <w:tcW w:w="814" w:type="pct"/>
            <w:tcBorders>
              <w:top w:val="nil"/>
              <w:left w:val="nil"/>
              <w:bottom w:val="nil"/>
              <w:right w:val="nil"/>
            </w:tcBorders>
            <w:vAlign w:val="center"/>
          </w:tcPr>
          <w:p w14:paraId="007A8EE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0.038</w:t>
            </w:r>
          </w:p>
        </w:tc>
        <w:tc>
          <w:tcPr>
            <w:tcW w:w="814" w:type="pct"/>
            <w:tcBorders>
              <w:top w:val="nil"/>
              <w:left w:val="nil"/>
              <w:bottom w:val="nil"/>
              <w:right w:val="nil"/>
            </w:tcBorders>
            <w:vAlign w:val="center"/>
          </w:tcPr>
          <w:p w14:paraId="78CA0C4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0.039</w:t>
            </w:r>
          </w:p>
        </w:tc>
        <w:tc>
          <w:tcPr>
            <w:tcW w:w="814" w:type="pct"/>
            <w:tcBorders>
              <w:top w:val="nil"/>
              <w:left w:val="nil"/>
              <w:bottom w:val="nil"/>
              <w:right w:val="nil"/>
            </w:tcBorders>
            <w:vAlign w:val="center"/>
          </w:tcPr>
          <w:p w14:paraId="7A4645D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0.039</w:t>
            </w:r>
          </w:p>
        </w:tc>
        <w:tc>
          <w:tcPr>
            <w:tcW w:w="813" w:type="pct"/>
            <w:tcBorders>
              <w:top w:val="nil"/>
              <w:left w:val="nil"/>
              <w:bottom w:val="nil"/>
              <w:right w:val="nil"/>
            </w:tcBorders>
            <w:vAlign w:val="center"/>
          </w:tcPr>
          <w:p w14:paraId="74F1BE6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0.014</w:t>
            </w:r>
          </w:p>
        </w:tc>
      </w:tr>
      <w:tr w:rsidR="0089544F" w:rsidRPr="00263C50" w14:paraId="137EF9FF" w14:textId="77777777" w:rsidTr="005668E0">
        <w:trPr>
          <w:trHeight w:val="288"/>
          <w:jc w:val="center"/>
        </w:trPr>
        <w:tc>
          <w:tcPr>
            <w:tcW w:w="931" w:type="pct"/>
            <w:tcBorders>
              <w:top w:val="nil"/>
              <w:left w:val="nil"/>
              <w:bottom w:val="nil"/>
              <w:right w:val="nil"/>
            </w:tcBorders>
            <w:shd w:val="clear" w:color="auto" w:fill="auto"/>
            <w:noWrap/>
            <w:vAlign w:val="center"/>
          </w:tcPr>
          <w:p w14:paraId="23306D8F"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814" w:type="pct"/>
            <w:tcBorders>
              <w:top w:val="nil"/>
              <w:left w:val="nil"/>
              <w:bottom w:val="nil"/>
              <w:right w:val="nil"/>
            </w:tcBorders>
            <w:shd w:val="clear" w:color="auto" w:fill="auto"/>
            <w:noWrap/>
            <w:vAlign w:val="center"/>
          </w:tcPr>
          <w:p w14:paraId="13E7D40E"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(0.48)</w:t>
            </w:r>
          </w:p>
        </w:tc>
        <w:tc>
          <w:tcPr>
            <w:tcW w:w="814" w:type="pct"/>
            <w:tcBorders>
              <w:top w:val="nil"/>
              <w:left w:val="nil"/>
              <w:bottom w:val="nil"/>
              <w:right w:val="nil"/>
            </w:tcBorders>
            <w:vAlign w:val="center"/>
          </w:tcPr>
          <w:p w14:paraId="3FBECD0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(0.74)</w:t>
            </w:r>
          </w:p>
        </w:tc>
        <w:tc>
          <w:tcPr>
            <w:tcW w:w="814" w:type="pct"/>
            <w:tcBorders>
              <w:top w:val="nil"/>
              <w:left w:val="nil"/>
              <w:bottom w:val="nil"/>
              <w:right w:val="nil"/>
            </w:tcBorders>
            <w:vAlign w:val="center"/>
          </w:tcPr>
          <w:p w14:paraId="15CCDC1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(0.76)</w:t>
            </w:r>
          </w:p>
        </w:tc>
        <w:tc>
          <w:tcPr>
            <w:tcW w:w="814" w:type="pct"/>
            <w:tcBorders>
              <w:top w:val="nil"/>
              <w:left w:val="nil"/>
              <w:bottom w:val="nil"/>
              <w:right w:val="nil"/>
            </w:tcBorders>
            <w:vAlign w:val="center"/>
          </w:tcPr>
          <w:p w14:paraId="6F232D1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(0.76)</w:t>
            </w:r>
          </w:p>
        </w:tc>
        <w:tc>
          <w:tcPr>
            <w:tcW w:w="813" w:type="pct"/>
            <w:tcBorders>
              <w:top w:val="nil"/>
              <w:left w:val="nil"/>
              <w:bottom w:val="nil"/>
              <w:right w:val="nil"/>
            </w:tcBorders>
            <w:vAlign w:val="center"/>
          </w:tcPr>
          <w:p w14:paraId="338514E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(0.31)</w:t>
            </w:r>
          </w:p>
        </w:tc>
      </w:tr>
      <w:tr w:rsidR="0089544F" w:rsidRPr="00263C50" w14:paraId="1502A72D" w14:textId="77777777" w:rsidTr="005668E0">
        <w:trPr>
          <w:trHeight w:val="288"/>
          <w:jc w:val="center"/>
        </w:trPr>
        <w:tc>
          <w:tcPr>
            <w:tcW w:w="931" w:type="pct"/>
            <w:tcBorders>
              <w:top w:val="nil"/>
              <w:left w:val="nil"/>
              <w:bottom w:val="nil"/>
              <w:right w:val="nil"/>
            </w:tcBorders>
            <w:shd w:val="clear" w:color="auto" w:fill="auto"/>
            <w:noWrap/>
            <w:vAlign w:val="center"/>
          </w:tcPr>
          <w:p w14:paraId="09496197"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FinExp</w:t>
            </w:r>
            <w:proofErr w:type="spellEnd"/>
          </w:p>
        </w:tc>
        <w:tc>
          <w:tcPr>
            <w:tcW w:w="814" w:type="pct"/>
            <w:tcBorders>
              <w:top w:val="nil"/>
              <w:left w:val="nil"/>
              <w:bottom w:val="nil"/>
              <w:right w:val="nil"/>
            </w:tcBorders>
            <w:shd w:val="clear" w:color="auto" w:fill="auto"/>
            <w:noWrap/>
            <w:vAlign w:val="center"/>
          </w:tcPr>
          <w:p w14:paraId="5F3188F0"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0.32***</w:t>
            </w:r>
          </w:p>
        </w:tc>
        <w:tc>
          <w:tcPr>
            <w:tcW w:w="814" w:type="pct"/>
            <w:tcBorders>
              <w:top w:val="nil"/>
              <w:left w:val="nil"/>
              <w:bottom w:val="nil"/>
              <w:right w:val="nil"/>
            </w:tcBorders>
            <w:vAlign w:val="center"/>
          </w:tcPr>
          <w:p w14:paraId="0A5F4A0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0.43***</w:t>
            </w:r>
          </w:p>
        </w:tc>
        <w:tc>
          <w:tcPr>
            <w:tcW w:w="814" w:type="pct"/>
            <w:tcBorders>
              <w:top w:val="nil"/>
              <w:left w:val="nil"/>
              <w:bottom w:val="nil"/>
              <w:right w:val="nil"/>
            </w:tcBorders>
            <w:vAlign w:val="center"/>
          </w:tcPr>
          <w:p w14:paraId="04A815D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0.42***</w:t>
            </w:r>
          </w:p>
        </w:tc>
        <w:tc>
          <w:tcPr>
            <w:tcW w:w="814" w:type="pct"/>
            <w:tcBorders>
              <w:top w:val="nil"/>
              <w:left w:val="nil"/>
              <w:bottom w:val="nil"/>
              <w:right w:val="nil"/>
            </w:tcBorders>
            <w:vAlign w:val="center"/>
          </w:tcPr>
          <w:p w14:paraId="3F5B638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0.42***</w:t>
            </w:r>
          </w:p>
        </w:tc>
        <w:tc>
          <w:tcPr>
            <w:tcW w:w="813" w:type="pct"/>
            <w:tcBorders>
              <w:top w:val="nil"/>
              <w:left w:val="nil"/>
              <w:bottom w:val="nil"/>
              <w:right w:val="nil"/>
            </w:tcBorders>
            <w:vAlign w:val="center"/>
          </w:tcPr>
          <w:p w14:paraId="3006EEC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0.27***</w:t>
            </w:r>
          </w:p>
        </w:tc>
      </w:tr>
      <w:tr w:rsidR="0089544F" w:rsidRPr="00263C50" w14:paraId="663F0161" w14:textId="77777777" w:rsidTr="005668E0">
        <w:trPr>
          <w:trHeight w:val="288"/>
          <w:jc w:val="center"/>
        </w:trPr>
        <w:tc>
          <w:tcPr>
            <w:tcW w:w="931" w:type="pct"/>
            <w:tcBorders>
              <w:top w:val="nil"/>
              <w:left w:val="nil"/>
              <w:bottom w:val="nil"/>
              <w:right w:val="nil"/>
            </w:tcBorders>
            <w:shd w:val="clear" w:color="auto" w:fill="auto"/>
            <w:noWrap/>
            <w:vAlign w:val="center"/>
          </w:tcPr>
          <w:p w14:paraId="21D43840"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814" w:type="pct"/>
            <w:tcBorders>
              <w:top w:val="nil"/>
              <w:left w:val="nil"/>
              <w:bottom w:val="nil"/>
              <w:right w:val="nil"/>
            </w:tcBorders>
            <w:shd w:val="clear" w:color="auto" w:fill="auto"/>
            <w:noWrap/>
            <w:vAlign w:val="center"/>
          </w:tcPr>
          <w:p w14:paraId="657EACFD"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(6.04)</w:t>
            </w:r>
          </w:p>
        </w:tc>
        <w:tc>
          <w:tcPr>
            <w:tcW w:w="814" w:type="pct"/>
            <w:tcBorders>
              <w:top w:val="nil"/>
              <w:left w:val="nil"/>
              <w:bottom w:val="nil"/>
              <w:right w:val="nil"/>
            </w:tcBorders>
            <w:vAlign w:val="center"/>
          </w:tcPr>
          <w:p w14:paraId="47BF598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(6.02)</w:t>
            </w:r>
          </w:p>
        </w:tc>
        <w:tc>
          <w:tcPr>
            <w:tcW w:w="814" w:type="pct"/>
            <w:tcBorders>
              <w:top w:val="nil"/>
              <w:left w:val="nil"/>
              <w:bottom w:val="nil"/>
              <w:right w:val="nil"/>
            </w:tcBorders>
            <w:vAlign w:val="center"/>
          </w:tcPr>
          <w:p w14:paraId="12DA4DF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(6.23)</w:t>
            </w:r>
          </w:p>
        </w:tc>
        <w:tc>
          <w:tcPr>
            <w:tcW w:w="814" w:type="pct"/>
            <w:tcBorders>
              <w:top w:val="nil"/>
              <w:left w:val="nil"/>
              <w:bottom w:val="nil"/>
              <w:right w:val="nil"/>
            </w:tcBorders>
            <w:vAlign w:val="center"/>
          </w:tcPr>
          <w:p w14:paraId="5BECA50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(6.18)</w:t>
            </w:r>
          </w:p>
        </w:tc>
        <w:tc>
          <w:tcPr>
            <w:tcW w:w="813" w:type="pct"/>
            <w:tcBorders>
              <w:top w:val="nil"/>
              <w:left w:val="nil"/>
              <w:bottom w:val="nil"/>
              <w:right w:val="nil"/>
            </w:tcBorders>
            <w:vAlign w:val="center"/>
          </w:tcPr>
          <w:p w14:paraId="2083401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(5.50)</w:t>
            </w:r>
          </w:p>
        </w:tc>
      </w:tr>
      <w:tr w:rsidR="0089544F" w:rsidRPr="00263C50" w14:paraId="39198F3E" w14:textId="77777777" w:rsidTr="005668E0">
        <w:trPr>
          <w:trHeight w:val="288"/>
          <w:jc w:val="center"/>
        </w:trPr>
        <w:tc>
          <w:tcPr>
            <w:tcW w:w="931" w:type="pct"/>
            <w:tcBorders>
              <w:top w:val="nil"/>
              <w:left w:val="nil"/>
              <w:bottom w:val="nil"/>
              <w:right w:val="nil"/>
            </w:tcBorders>
            <w:shd w:val="clear" w:color="auto" w:fill="auto"/>
            <w:noWrap/>
            <w:vAlign w:val="center"/>
          </w:tcPr>
          <w:p w14:paraId="1A24E193"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hAnsi="Times New Roman" w:cs="Times New Roman"/>
                <w:i/>
                <w:color w:val="000000"/>
                <w:sz w:val="20"/>
                <w:szCs w:val="20"/>
              </w:rPr>
              <w:t>Income</w:t>
            </w:r>
          </w:p>
        </w:tc>
        <w:tc>
          <w:tcPr>
            <w:tcW w:w="814" w:type="pct"/>
            <w:tcBorders>
              <w:top w:val="nil"/>
              <w:left w:val="nil"/>
              <w:bottom w:val="nil"/>
              <w:right w:val="nil"/>
            </w:tcBorders>
            <w:shd w:val="clear" w:color="auto" w:fill="auto"/>
            <w:noWrap/>
            <w:vAlign w:val="center"/>
          </w:tcPr>
          <w:p w14:paraId="13EE7722"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0.0083</w:t>
            </w:r>
          </w:p>
        </w:tc>
        <w:tc>
          <w:tcPr>
            <w:tcW w:w="814" w:type="pct"/>
            <w:tcBorders>
              <w:top w:val="nil"/>
              <w:left w:val="nil"/>
              <w:bottom w:val="nil"/>
              <w:right w:val="nil"/>
            </w:tcBorders>
            <w:vAlign w:val="center"/>
          </w:tcPr>
          <w:p w14:paraId="3E5D05B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-0.0002</w:t>
            </w:r>
          </w:p>
        </w:tc>
        <w:tc>
          <w:tcPr>
            <w:tcW w:w="814" w:type="pct"/>
            <w:tcBorders>
              <w:top w:val="nil"/>
              <w:left w:val="nil"/>
              <w:bottom w:val="nil"/>
              <w:right w:val="nil"/>
            </w:tcBorders>
            <w:vAlign w:val="center"/>
          </w:tcPr>
          <w:p w14:paraId="11B0A6A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0.0058</w:t>
            </w:r>
          </w:p>
        </w:tc>
        <w:tc>
          <w:tcPr>
            <w:tcW w:w="814" w:type="pct"/>
            <w:tcBorders>
              <w:top w:val="nil"/>
              <w:left w:val="nil"/>
              <w:bottom w:val="nil"/>
              <w:right w:val="nil"/>
            </w:tcBorders>
            <w:vAlign w:val="center"/>
          </w:tcPr>
          <w:p w14:paraId="40F538F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0.002</w:t>
            </w:r>
          </w:p>
        </w:tc>
        <w:tc>
          <w:tcPr>
            <w:tcW w:w="813" w:type="pct"/>
            <w:tcBorders>
              <w:top w:val="nil"/>
              <w:left w:val="nil"/>
              <w:bottom w:val="nil"/>
              <w:right w:val="nil"/>
            </w:tcBorders>
            <w:vAlign w:val="center"/>
          </w:tcPr>
          <w:p w14:paraId="1A974AB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0.0064</w:t>
            </w:r>
          </w:p>
        </w:tc>
      </w:tr>
      <w:tr w:rsidR="0089544F" w:rsidRPr="00263C50" w14:paraId="606DC83B" w14:textId="77777777" w:rsidTr="005668E0">
        <w:trPr>
          <w:trHeight w:val="288"/>
          <w:jc w:val="center"/>
        </w:trPr>
        <w:tc>
          <w:tcPr>
            <w:tcW w:w="931" w:type="pct"/>
            <w:tcBorders>
              <w:top w:val="nil"/>
              <w:left w:val="nil"/>
              <w:bottom w:val="nil"/>
              <w:right w:val="nil"/>
            </w:tcBorders>
            <w:shd w:val="clear" w:color="auto" w:fill="auto"/>
            <w:noWrap/>
            <w:vAlign w:val="center"/>
          </w:tcPr>
          <w:p w14:paraId="24990BAD"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814" w:type="pct"/>
            <w:tcBorders>
              <w:top w:val="nil"/>
              <w:left w:val="nil"/>
              <w:bottom w:val="nil"/>
              <w:right w:val="nil"/>
            </w:tcBorders>
            <w:shd w:val="clear" w:color="auto" w:fill="auto"/>
            <w:noWrap/>
            <w:vAlign w:val="center"/>
          </w:tcPr>
          <w:p w14:paraId="1E61B0A2"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(0.57)</w:t>
            </w:r>
          </w:p>
        </w:tc>
        <w:tc>
          <w:tcPr>
            <w:tcW w:w="814" w:type="pct"/>
            <w:tcBorders>
              <w:top w:val="nil"/>
              <w:left w:val="nil"/>
              <w:bottom w:val="nil"/>
              <w:right w:val="nil"/>
            </w:tcBorders>
            <w:vAlign w:val="center"/>
          </w:tcPr>
          <w:p w14:paraId="24C206F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(0.01)</w:t>
            </w:r>
          </w:p>
        </w:tc>
        <w:tc>
          <w:tcPr>
            <w:tcW w:w="814" w:type="pct"/>
            <w:tcBorders>
              <w:top w:val="nil"/>
              <w:left w:val="nil"/>
              <w:bottom w:val="nil"/>
              <w:right w:val="nil"/>
            </w:tcBorders>
            <w:vAlign w:val="center"/>
          </w:tcPr>
          <w:p w14:paraId="429178C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(0.33)</w:t>
            </w:r>
          </w:p>
        </w:tc>
        <w:tc>
          <w:tcPr>
            <w:tcW w:w="814" w:type="pct"/>
            <w:tcBorders>
              <w:top w:val="nil"/>
              <w:left w:val="nil"/>
              <w:bottom w:val="nil"/>
              <w:right w:val="nil"/>
            </w:tcBorders>
            <w:vAlign w:val="center"/>
          </w:tcPr>
          <w:p w14:paraId="61D38F0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(0.12)</w:t>
            </w:r>
          </w:p>
        </w:tc>
        <w:tc>
          <w:tcPr>
            <w:tcW w:w="813" w:type="pct"/>
            <w:tcBorders>
              <w:top w:val="nil"/>
              <w:left w:val="nil"/>
              <w:bottom w:val="nil"/>
              <w:right w:val="nil"/>
            </w:tcBorders>
            <w:vAlign w:val="center"/>
          </w:tcPr>
          <w:p w14:paraId="0C241CB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(0.46)</w:t>
            </w:r>
          </w:p>
        </w:tc>
      </w:tr>
      <w:tr w:rsidR="0089544F" w:rsidRPr="00263C50" w14:paraId="14E85C0F" w14:textId="77777777" w:rsidTr="005668E0">
        <w:trPr>
          <w:trHeight w:val="288"/>
          <w:jc w:val="center"/>
        </w:trPr>
        <w:tc>
          <w:tcPr>
            <w:tcW w:w="931" w:type="pct"/>
            <w:tcBorders>
              <w:top w:val="nil"/>
              <w:left w:val="nil"/>
              <w:bottom w:val="nil"/>
              <w:right w:val="nil"/>
            </w:tcBorders>
            <w:shd w:val="clear" w:color="auto" w:fill="auto"/>
            <w:noWrap/>
            <w:vAlign w:val="center"/>
            <w:hideMark/>
          </w:tcPr>
          <w:p w14:paraId="6EA76B07"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i/>
                <w:color w:val="000000"/>
                <w:sz w:val="20"/>
                <w:szCs w:val="20"/>
                <w:lang w:val="en-US" w:eastAsia="zh-TW"/>
              </w:rPr>
              <w:t>Constant</w:t>
            </w:r>
          </w:p>
        </w:tc>
        <w:tc>
          <w:tcPr>
            <w:tcW w:w="814" w:type="pct"/>
            <w:tcBorders>
              <w:top w:val="nil"/>
              <w:left w:val="nil"/>
              <w:bottom w:val="nil"/>
              <w:right w:val="nil"/>
            </w:tcBorders>
            <w:shd w:val="clear" w:color="auto" w:fill="auto"/>
            <w:noWrap/>
            <w:vAlign w:val="center"/>
            <w:hideMark/>
          </w:tcPr>
          <w:p w14:paraId="27C1E574"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-0.23***</w:t>
            </w:r>
          </w:p>
        </w:tc>
        <w:tc>
          <w:tcPr>
            <w:tcW w:w="814" w:type="pct"/>
            <w:tcBorders>
              <w:top w:val="nil"/>
              <w:left w:val="nil"/>
              <w:bottom w:val="nil"/>
              <w:right w:val="nil"/>
            </w:tcBorders>
            <w:vAlign w:val="center"/>
          </w:tcPr>
          <w:p w14:paraId="548C5AF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w:t>
            </w:r>
          </w:p>
        </w:tc>
        <w:tc>
          <w:tcPr>
            <w:tcW w:w="814" w:type="pct"/>
            <w:tcBorders>
              <w:top w:val="nil"/>
              <w:left w:val="nil"/>
              <w:bottom w:val="nil"/>
              <w:right w:val="nil"/>
            </w:tcBorders>
            <w:vAlign w:val="center"/>
          </w:tcPr>
          <w:p w14:paraId="278BC9E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-0.077</w:t>
            </w:r>
          </w:p>
        </w:tc>
        <w:tc>
          <w:tcPr>
            <w:tcW w:w="814" w:type="pct"/>
            <w:tcBorders>
              <w:top w:val="nil"/>
              <w:left w:val="nil"/>
              <w:bottom w:val="nil"/>
              <w:right w:val="nil"/>
            </w:tcBorders>
            <w:vAlign w:val="center"/>
          </w:tcPr>
          <w:p w14:paraId="38CD273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-0.07</w:t>
            </w:r>
          </w:p>
        </w:tc>
        <w:tc>
          <w:tcPr>
            <w:tcW w:w="813" w:type="pct"/>
            <w:tcBorders>
              <w:top w:val="nil"/>
              <w:left w:val="nil"/>
              <w:bottom w:val="nil"/>
              <w:right w:val="nil"/>
            </w:tcBorders>
            <w:vAlign w:val="center"/>
          </w:tcPr>
          <w:p w14:paraId="316543D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-0.15**</w:t>
            </w:r>
          </w:p>
        </w:tc>
      </w:tr>
      <w:tr w:rsidR="0089544F" w:rsidRPr="00263C50" w14:paraId="0421B261" w14:textId="77777777" w:rsidTr="005668E0">
        <w:trPr>
          <w:trHeight w:val="288"/>
          <w:jc w:val="center"/>
        </w:trPr>
        <w:tc>
          <w:tcPr>
            <w:tcW w:w="931" w:type="pct"/>
            <w:tcBorders>
              <w:top w:val="nil"/>
              <w:left w:val="nil"/>
              <w:bottom w:val="nil"/>
              <w:right w:val="nil"/>
            </w:tcBorders>
            <w:shd w:val="clear" w:color="auto" w:fill="auto"/>
            <w:noWrap/>
            <w:vAlign w:val="center"/>
            <w:hideMark/>
          </w:tcPr>
          <w:p w14:paraId="312073D5" w14:textId="77777777" w:rsidR="0089544F" w:rsidRPr="00263C50" w:rsidRDefault="0089544F" w:rsidP="00186583">
            <w:pPr>
              <w:rPr>
                <w:rFonts w:ascii="Times New Roman" w:eastAsia="Times New Roman" w:hAnsi="Times New Roman" w:cs="Times New Roman"/>
                <w:color w:val="000000"/>
                <w:sz w:val="20"/>
                <w:szCs w:val="20"/>
                <w:lang w:val="en-US" w:eastAsia="zh-TW"/>
              </w:rPr>
            </w:pPr>
          </w:p>
        </w:tc>
        <w:tc>
          <w:tcPr>
            <w:tcW w:w="814" w:type="pct"/>
            <w:tcBorders>
              <w:top w:val="nil"/>
              <w:left w:val="nil"/>
              <w:bottom w:val="nil"/>
              <w:right w:val="nil"/>
            </w:tcBorders>
            <w:shd w:val="clear" w:color="auto" w:fill="auto"/>
            <w:noWrap/>
            <w:vAlign w:val="center"/>
            <w:hideMark/>
          </w:tcPr>
          <w:p w14:paraId="450877B0"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(3.57)</w:t>
            </w:r>
          </w:p>
        </w:tc>
        <w:tc>
          <w:tcPr>
            <w:tcW w:w="814" w:type="pct"/>
            <w:tcBorders>
              <w:top w:val="nil"/>
              <w:left w:val="nil"/>
              <w:bottom w:val="nil"/>
              <w:right w:val="nil"/>
            </w:tcBorders>
            <w:vAlign w:val="center"/>
          </w:tcPr>
          <w:p w14:paraId="70E4757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(1.17)</w:t>
            </w:r>
          </w:p>
        </w:tc>
        <w:tc>
          <w:tcPr>
            <w:tcW w:w="814" w:type="pct"/>
            <w:tcBorders>
              <w:top w:val="nil"/>
              <w:left w:val="nil"/>
              <w:bottom w:val="nil"/>
              <w:right w:val="nil"/>
            </w:tcBorders>
            <w:vAlign w:val="center"/>
          </w:tcPr>
          <w:p w14:paraId="077AA6C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(0.98)</w:t>
            </w:r>
          </w:p>
        </w:tc>
        <w:tc>
          <w:tcPr>
            <w:tcW w:w="814" w:type="pct"/>
            <w:tcBorders>
              <w:top w:val="nil"/>
              <w:left w:val="nil"/>
              <w:bottom w:val="nil"/>
              <w:right w:val="nil"/>
            </w:tcBorders>
            <w:vAlign w:val="center"/>
          </w:tcPr>
          <w:p w14:paraId="075DE13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(0.85)</w:t>
            </w:r>
          </w:p>
        </w:tc>
        <w:tc>
          <w:tcPr>
            <w:tcW w:w="813" w:type="pct"/>
            <w:tcBorders>
              <w:top w:val="nil"/>
              <w:left w:val="nil"/>
              <w:bottom w:val="nil"/>
              <w:right w:val="nil"/>
            </w:tcBorders>
            <w:vAlign w:val="center"/>
          </w:tcPr>
          <w:p w14:paraId="3795AD2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(2.13)</w:t>
            </w:r>
          </w:p>
        </w:tc>
      </w:tr>
      <w:tr w:rsidR="0089544F" w:rsidRPr="00263C50" w14:paraId="61E1F171" w14:textId="77777777" w:rsidTr="005668E0">
        <w:trPr>
          <w:trHeight w:val="288"/>
          <w:jc w:val="center"/>
        </w:trPr>
        <w:tc>
          <w:tcPr>
            <w:tcW w:w="931" w:type="pct"/>
            <w:tcBorders>
              <w:top w:val="nil"/>
              <w:left w:val="nil"/>
              <w:right w:val="nil"/>
            </w:tcBorders>
            <w:shd w:val="clear" w:color="auto" w:fill="auto"/>
            <w:noWrap/>
            <w:vAlign w:val="center"/>
            <w:hideMark/>
          </w:tcPr>
          <w:p w14:paraId="1BC4DF99" w14:textId="77777777" w:rsidR="0089544F" w:rsidRPr="00263C50" w:rsidRDefault="0089544F" w:rsidP="00186583">
            <w:pPr>
              <w:rPr>
                <w:rFonts w:ascii="Times New Roman" w:eastAsia="Times New Roman" w:hAnsi="Times New Roman" w:cs="Times New Roman"/>
                <w:color w:val="000000"/>
                <w:sz w:val="20"/>
                <w:szCs w:val="20"/>
                <w:lang w:val="en-US" w:eastAsia="zh-TW"/>
              </w:rPr>
            </w:pPr>
          </w:p>
        </w:tc>
        <w:tc>
          <w:tcPr>
            <w:tcW w:w="814" w:type="pct"/>
            <w:tcBorders>
              <w:top w:val="nil"/>
              <w:left w:val="nil"/>
              <w:right w:val="nil"/>
            </w:tcBorders>
            <w:shd w:val="clear" w:color="auto" w:fill="auto"/>
            <w:noWrap/>
            <w:vAlign w:val="center"/>
            <w:hideMark/>
          </w:tcPr>
          <w:p w14:paraId="6AC2B870" w14:textId="77777777" w:rsidR="0089544F" w:rsidRPr="00263C50" w:rsidRDefault="0089544F" w:rsidP="00186583">
            <w:pPr>
              <w:jc w:val="center"/>
              <w:rPr>
                <w:rFonts w:ascii="Times New Roman" w:eastAsia="Times New Roman" w:hAnsi="Times New Roman" w:cs="Times New Roman"/>
                <w:sz w:val="20"/>
                <w:szCs w:val="20"/>
                <w:lang w:val="en-US" w:eastAsia="zh-TW"/>
              </w:rPr>
            </w:pPr>
          </w:p>
        </w:tc>
        <w:tc>
          <w:tcPr>
            <w:tcW w:w="814" w:type="pct"/>
            <w:tcBorders>
              <w:top w:val="nil"/>
              <w:left w:val="nil"/>
              <w:right w:val="nil"/>
            </w:tcBorders>
            <w:vAlign w:val="center"/>
          </w:tcPr>
          <w:p w14:paraId="4B2A81F2" w14:textId="77777777" w:rsidR="0089544F" w:rsidRPr="00263C50" w:rsidRDefault="0089544F" w:rsidP="00186583">
            <w:pPr>
              <w:jc w:val="center"/>
              <w:rPr>
                <w:rFonts w:ascii="Times New Roman" w:eastAsia="Times New Roman" w:hAnsi="Times New Roman" w:cs="Times New Roman"/>
                <w:sz w:val="20"/>
                <w:szCs w:val="20"/>
                <w:lang w:val="en-US" w:eastAsia="zh-TW"/>
              </w:rPr>
            </w:pPr>
          </w:p>
        </w:tc>
        <w:tc>
          <w:tcPr>
            <w:tcW w:w="814" w:type="pct"/>
            <w:tcBorders>
              <w:top w:val="nil"/>
              <w:left w:val="nil"/>
              <w:right w:val="nil"/>
            </w:tcBorders>
            <w:vAlign w:val="center"/>
          </w:tcPr>
          <w:p w14:paraId="38C7F1EA" w14:textId="77777777" w:rsidR="0089544F" w:rsidRPr="00263C50" w:rsidRDefault="0089544F" w:rsidP="00186583">
            <w:pPr>
              <w:jc w:val="center"/>
              <w:rPr>
                <w:rFonts w:ascii="Times New Roman" w:eastAsia="Times New Roman" w:hAnsi="Times New Roman" w:cs="Times New Roman"/>
                <w:sz w:val="20"/>
                <w:szCs w:val="20"/>
                <w:lang w:val="en-US" w:eastAsia="zh-TW"/>
              </w:rPr>
            </w:pPr>
          </w:p>
        </w:tc>
        <w:tc>
          <w:tcPr>
            <w:tcW w:w="814" w:type="pct"/>
            <w:tcBorders>
              <w:top w:val="nil"/>
              <w:left w:val="nil"/>
              <w:right w:val="nil"/>
            </w:tcBorders>
            <w:vAlign w:val="center"/>
          </w:tcPr>
          <w:p w14:paraId="69985F0B" w14:textId="77777777" w:rsidR="0089544F" w:rsidRPr="00263C50" w:rsidRDefault="0089544F" w:rsidP="00186583">
            <w:pPr>
              <w:jc w:val="center"/>
              <w:rPr>
                <w:rFonts w:ascii="Times New Roman" w:eastAsia="Times New Roman" w:hAnsi="Times New Roman" w:cs="Times New Roman"/>
                <w:sz w:val="20"/>
                <w:szCs w:val="20"/>
                <w:lang w:val="en-US" w:eastAsia="zh-TW"/>
              </w:rPr>
            </w:pPr>
          </w:p>
        </w:tc>
        <w:tc>
          <w:tcPr>
            <w:tcW w:w="813" w:type="pct"/>
            <w:tcBorders>
              <w:top w:val="nil"/>
              <w:left w:val="nil"/>
              <w:right w:val="nil"/>
            </w:tcBorders>
            <w:vAlign w:val="center"/>
          </w:tcPr>
          <w:p w14:paraId="15831C50" w14:textId="77777777" w:rsidR="0089544F" w:rsidRPr="00263C50" w:rsidRDefault="0089544F" w:rsidP="00186583">
            <w:pPr>
              <w:jc w:val="center"/>
              <w:rPr>
                <w:rFonts w:ascii="Times New Roman" w:eastAsia="Times New Roman" w:hAnsi="Times New Roman" w:cs="Times New Roman"/>
                <w:sz w:val="20"/>
                <w:szCs w:val="20"/>
                <w:lang w:val="en-US" w:eastAsia="zh-TW"/>
              </w:rPr>
            </w:pPr>
          </w:p>
        </w:tc>
      </w:tr>
      <w:tr w:rsidR="0089544F" w:rsidRPr="00263C50" w14:paraId="419B5046" w14:textId="77777777" w:rsidTr="005668E0">
        <w:trPr>
          <w:trHeight w:val="288"/>
          <w:jc w:val="center"/>
        </w:trPr>
        <w:tc>
          <w:tcPr>
            <w:tcW w:w="931" w:type="pct"/>
            <w:tcBorders>
              <w:top w:val="nil"/>
              <w:left w:val="nil"/>
              <w:bottom w:val="single" w:sz="4" w:space="0" w:color="auto"/>
              <w:right w:val="nil"/>
            </w:tcBorders>
            <w:shd w:val="clear" w:color="auto" w:fill="auto"/>
            <w:noWrap/>
            <w:vAlign w:val="center"/>
            <w:hideMark/>
          </w:tcPr>
          <w:p w14:paraId="33F867B9" w14:textId="77777777" w:rsidR="0089544F" w:rsidRPr="00263C50" w:rsidRDefault="0089544F" w:rsidP="00186583">
            <w:pP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No. of Obs.</w:t>
            </w:r>
          </w:p>
        </w:tc>
        <w:tc>
          <w:tcPr>
            <w:tcW w:w="814" w:type="pct"/>
            <w:tcBorders>
              <w:top w:val="nil"/>
              <w:left w:val="nil"/>
              <w:bottom w:val="single" w:sz="4" w:space="0" w:color="auto"/>
              <w:right w:val="nil"/>
            </w:tcBorders>
            <w:shd w:val="clear" w:color="auto" w:fill="auto"/>
            <w:noWrap/>
            <w:vAlign w:val="center"/>
            <w:hideMark/>
          </w:tcPr>
          <w:p w14:paraId="5BAFFEB8"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145</w:t>
            </w:r>
          </w:p>
        </w:tc>
        <w:tc>
          <w:tcPr>
            <w:tcW w:w="814" w:type="pct"/>
            <w:tcBorders>
              <w:top w:val="nil"/>
              <w:left w:val="nil"/>
              <w:bottom w:val="single" w:sz="4" w:space="0" w:color="auto"/>
              <w:right w:val="nil"/>
            </w:tcBorders>
            <w:vAlign w:val="center"/>
          </w:tcPr>
          <w:p w14:paraId="09CBC2DF" w14:textId="77777777" w:rsidR="0089544F" w:rsidRPr="00263C50" w:rsidRDefault="0089544F" w:rsidP="00186583">
            <w:pPr>
              <w:jc w:val="center"/>
              <w:rPr>
                <w:rFonts w:ascii="Times New Roman" w:eastAsia="Times New Roman" w:hAnsi="Times New Roman" w:cs="Times New Roman"/>
                <w:color w:val="000000" w:themeColor="text1"/>
                <w:sz w:val="20"/>
                <w:szCs w:val="20"/>
                <w:lang w:val="en-US" w:eastAsia="zh-TW"/>
              </w:rPr>
            </w:pPr>
            <w:r w:rsidRPr="00263C50">
              <w:rPr>
                <w:rFonts w:ascii="Times New Roman" w:eastAsia="Times New Roman" w:hAnsi="Times New Roman" w:cs="Times New Roman"/>
                <w:color w:val="000000"/>
                <w:sz w:val="20"/>
                <w:szCs w:val="20"/>
                <w:lang w:val="en-US" w:eastAsia="zh-TW"/>
              </w:rPr>
              <w:t>145</w:t>
            </w:r>
          </w:p>
        </w:tc>
        <w:tc>
          <w:tcPr>
            <w:tcW w:w="814" w:type="pct"/>
            <w:tcBorders>
              <w:top w:val="nil"/>
              <w:left w:val="nil"/>
              <w:bottom w:val="single" w:sz="4" w:space="0" w:color="auto"/>
              <w:right w:val="nil"/>
            </w:tcBorders>
            <w:vAlign w:val="center"/>
          </w:tcPr>
          <w:p w14:paraId="68FF994F" w14:textId="77777777" w:rsidR="0089544F" w:rsidRPr="00263C50" w:rsidRDefault="0089544F" w:rsidP="00186583">
            <w:pPr>
              <w:jc w:val="center"/>
              <w:rPr>
                <w:rFonts w:ascii="Times New Roman" w:eastAsia="Times New Roman" w:hAnsi="Times New Roman" w:cs="Times New Roman"/>
                <w:color w:val="000000" w:themeColor="text1"/>
                <w:sz w:val="20"/>
                <w:szCs w:val="20"/>
                <w:lang w:val="en-US" w:eastAsia="zh-TW"/>
              </w:rPr>
            </w:pPr>
            <w:r w:rsidRPr="00263C50">
              <w:rPr>
                <w:rFonts w:ascii="Times New Roman" w:eastAsia="Times New Roman" w:hAnsi="Times New Roman" w:cs="Times New Roman"/>
                <w:color w:val="000000"/>
                <w:sz w:val="20"/>
                <w:szCs w:val="20"/>
                <w:lang w:val="en-US" w:eastAsia="zh-TW"/>
              </w:rPr>
              <w:t>145</w:t>
            </w:r>
          </w:p>
        </w:tc>
        <w:tc>
          <w:tcPr>
            <w:tcW w:w="814" w:type="pct"/>
            <w:tcBorders>
              <w:top w:val="nil"/>
              <w:left w:val="nil"/>
              <w:bottom w:val="single" w:sz="4" w:space="0" w:color="auto"/>
              <w:right w:val="nil"/>
            </w:tcBorders>
            <w:vAlign w:val="center"/>
          </w:tcPr>
          <w:p w14:paraId="30A963A9" w14:textId="77777777" w:rsidR="0089544F" w:rsidRPr="00263C50" w:rsidRDefault="0089544F" w:rsidP="00186583">
            <w:pPr>
              <w:jc w:val="center"/>
              <w:rPr>
                <w:rFonts w:ascii="Times New Roman" w:eastAsia="Times New Roman" w:hAnsi="Times New Roman" w:cs="Times New Roman"/>
                <w:color w:val="000000" w:themeColor="text1"/>
                <w:sz w:val="20"/>
                <w:szCs w:val="20"/>
                <w:lang w:val="en-US" w:eastAsia="zh-TW"/>
              </w:rPr>
            </w:pPr>
            <w:r w:rsidRPr="00263C50">
              <w:rPr>
                <w:rFonts w:ascii="Times New Roman" w:eastAsia="Times New Roman" w:hAnsi="Times New Roman" w:cs="Times New Roman"/>
                <w:color w:val="000000"/>
                <w:sz w:val="20"/>
                <w:szCs w:val="20"/>
                <w:lang w:val="en-US" w:eastAsia="zh-TW"/>
              </w:rPr>
              <w:t>145</w:t>
            </w:r>
          </w:p>
        </w:tc>
        <w:tc>
          <w:tcPr>
            <w:tcW w:w="813" w:type="pct"/>
            <w:tcBorders>
              <w:top w:val="nil"/>
              <w:left w:val="nil"/>
              <w:bottom w:val="single" w:sz="4" w:space="0" w:color="auto"/>
              <w:right w:val="nil"/>
            </w:tcBorders>
            <w:vAlign w:val="center"/>
          </w:tcPr>
          <w:p w14:paraId="6D611CD0" w14:textId="77777777" w:rsidR="0089544F" w:rsidRPr="00263C50" w:rsidRDefault="0089544F" w:rsidP="00186583">
            <w:pPr>
              <w:jc w:val="center"/>
              <w:rPr>
                <w:rFonts w:ascii="Times New Roman" w:eastAsia="Times New Roman" w:hAnsi="Times New Roman" w:cs="Times New Roman"/>
                <w:color w:val="000000" w:themeColor="text1"/>
                <w:sz w:val="20"/>
                <w:szCs w:val="20"/>
                <w:lang w:val="en-US" w:eastAsia="zh-TW"/>
              </w:rPr>
            </w:pPr>
            <w:r w:rsidRPr="00263C50">
              <w:rPr>
                <w:rFonts w:ascii="Times New Roman" w:eastAsia="Times New Roman" w:hAnsi="Times New Roman" w:cs="Times New Roman"/>
                <w:color w:val="000000"/>
                <w:sz w:val="20"/>
                <w:szCs w:val="20"/>
                <w:lang w:val="en-US" w:eastAsia="zh-TW"/>
              </w:rPr>
              <w:t>145</w:t>
            </w:r>
          </w:p>
        </w:tc>
      </w:tr>
    </w:tbl>
    <w:p w14:paraId="1ADDC4D5" w14:textId="77777777" w:rsidR="00263C50" w:rsidRDefault="00263C50" w:rsidP="00186583">
      <w:pPr>
        <w:rPr>
          <w:rFonts w:ascii="Times New Roman" w:hAnsi="Times New Roman" w:cs="Times New Roman"/>
          <w:sz w:val="20"/>
          <w:szCs w:val="20"/>
          <w:lang w:val="en-US"/>
        </w:rPr>
      </w:pPr>
    </w:p>
    <w:p w14:paraId="576F9FC6" w14:textId="77777777" w:rsidR="00263C50" w:rsidRPr="00263C50" w:rsidRDefault="00263C50" w:rsidP="00186583">
      <w:pPr>
        <w:rPr>
          <w:rFonts w:ascii="Times New Roman" w:hAnsi="Times New Roman" w:cs="Times New Roman"/>
          <w:sz w:val="20"/>
          <w:szCs w:val="20"/>
          <w:lang w:val="en-US"/>
        </w:rPr>
        <w:sectPr w:rsidR="00263C50" w:rsidRPr="00263C50" w:rsidSect="00CA4B1F">
          <w:pgSz w:w="12240" w:h="15840"/>
          <w:pgMar w:top="1440" w:right="1440" w:bottom="1440" w:left="1440" w:header="720" w:footer="720" w:gutter="0"/>
          <w:cols w:space="720"/>
          <w:docGrid w:linePitch="360"/>
        </w:sectPr>
      </w:pPr>
    </w:p>
    <w:p w14:paraId="77825D85" w14:textId="77777777" w:rsidR="0089544F" w:rsidRDefault="0089544F" w:rsidP="00186583">
      <w:pPr>
        <w:rPr>
          <w:rFonts w:ascii="Times New Roman" w:hAnsi="Times New Roman" w:cs="Times New Roman"/>
          <w:b/>
          <w:sz w:val="20"/>
          <w:szCs w:val="20"/>
          <w:lang w:val="en-US"/>
        </w:rPr>
      </w:pPr>
      <w:r w:rsidRPr="00263C50">
        <w:rPr>
          <w:rFonts w:ascii="Times New Roman" w:hAnsi="Times New Roman" w:cs="Times New Roman"/>
          <w:b/>
          <w:sz w:val="20"/>
          <w:szCs w:val="20"/>
          <w:lang w:val="en-US"/>
        </w:rPr>
        <w:lastRenderedPageBreak/>
        <w:t>Table 7 The impact of accounting and tax education on Tax Confidence with socio-economic determinants</w:t>
      </w:r>
    </w:p>
    <w:p w14:paraId="23BFE991" w14:textId="77777777" w:rsidR="00263C50" w:rsidRPr="00263C50" w:rsidRDefault="00263C50" w:rsidP="00186583">
      <w:pPr>
        <w:rPr>
          <w:rFonts w:ascii="Times New Roman" w:hAnsi="Times New Roman" w:cs="Times New Roman"/>
          <w:b/>
          <w:sz w:val="20"/>
          <w:szCs w:val="20"/>
          <w:lang w:val="en-US"/>
        </w:rPr>
      </w:pPr>
    </w:p>
    <w:tbl>
      <w:tblPr>
        <w:tblW w:w="5000" w:type="pct"/>
        <w:jc w:val="center"/>
        <w:tblLook w:val="04A0" w:firstRow="1" w:lastRow="0" w:firstColumn="1" w:lastColumn="0" w:noHBand="0" w:noVBand="1"/>
      </w:tblPr>
      <w:tblGrid>
        <w:gridCol w:w="1804"/>
        <w:gridCol w:w="1535"/>
        <w:gridCol w:w="1509"/>
        <w:gridCol w:w="1494"/>
        <w:gridCol w:w="1510"/>
        <w:gridCol w:w="1508"/>
      </w:tblGrid>
      <w:tr w:rsidR="0089544F" w:rsidRPr="00263C50" w14:paraId="0E3C0E53" w14:textId="77777777" w:rsidTr="005668E0">
        <w:trPr>
          <w:trHeight w:val="312"/>
          <w:jc w:val="center"/>
        </w:trPr>
        <w:tc>
          <w:tcPr>
            <w:tcW w:w="1804" w:type="dxa"/>
            <w:tcBorders>
              <w:top w:val="single" w:sz="4" w:space="0" w:color="auto"/>
              <w:left w:val="nil"/>
              <w:bottom w:val="single" w:sz="4" w:space="0" w:color="auto"/>
              <w:right w:val="nil"/>
            </w:tcBorders>
            <w:shd w:val="clear" w:color="auto" w:fill="auto"/>
            <w:noWrap/>
            <w:vAlign w:val="center"/>
          </w:tcPr>
          <w:p w14:paraId="411BC469" w14:textId="77777777" w:rsidR="0089544F" w:rsidRPr="00263C50" w:rsidRDefault="0089544F" w:rsidP="00186583">
            <w:pPr>
              <w:rPr>
                <w:rFonts w:ascii="Times New Roman" w:hAnsi="Times New Roman" w:cs="Times New Roman"/>
                <w:sz w:val="20"/>
                <w:szCs w:val="20"/>
                <w:lang w:val="en-US"/>
              </w:rPr>
            </w:pPr>
          </w:p>
        </w:tc>
        <w:tc>
          <w:tcPr>
            <w:tcW w:w="7556" w:type="dxa"/>
            <w:gridSpan w:val="5"/>
            <w:tcBorders>
              <w:top w:val="single" w:sz="4" w:space="0" w:color="auto"/>
              <w:left w:val="nil"/>
              <w:bottom w:val="single" w:sz="4" w:space="0" w:color="auto"/>
              <w:right w:val="nil"/>
            </w:tcBorders>
            <w:shd w:val="clear" w:color="auto" w:fill="auto"/>
            <w:noWrap/>
            <w:vAlign w:val="center"/>
          </w:tcPr>
          <w:p w14:paraId="614AD0E0" w14:textId="77777777" w:rsidR="0089544F" w:rsidRPr="00263C50" w:rsidRDefault="0089544F" w:rsidP="00186583">
            <w:pPr>
              <w:jc w:val="center"/>
              <w:rPr>
                <w:rFonts w:ascii="Times New Roman" w:hAnsi="Times New Roman" w:cs="Times New Roman"/>
                <w:i/>
                <w:sz w:val="20"/>
                <w:szCs w:val="20"/>
                <w:lang w:val="en-US"/>
              </w:rPr>
            </w:pPr>
            <w:proofErr w:type="spellStart"/>
            <w:r w:rsidRPr="00263C50">
              <w:rPr>
                <w:rFonts w:ascii="Times New Roman" w:hAnsi="Times New Roman" w:cs="Times New Roman"/>
                <w:i/>
                <w:sz w:val="20"/>
                <w:szCs w:val="20"/>
                <w:lang w:val="en-US"/>
              </w:rPr>
              <w:t>TaxConf</w:t>
            </w:r>
            <w:proofErr w:type="spellEnd"/>
          </w:p>
        </w:tc>
      </w:tr>
      <w:tr w:rsidR="0089544F" w:rsidRPr="00263C50" w14:paraId="367F014F" w14:textId="77777777" w:rsidTr="005668E0">
        <w:trPr>
          <w:trHeight w:val="312"/>
          <w:jc w:val="center"/>
        </w:trPr>
        <w:tc>
          <w:tcPr>
            <w:tcW w:w="1804" w:type="dxa"/>
            <w:tcBorders>
              <w:top w:val="single" w:sz="4" w:space="0" w:color="auto"/>
              <w:left w:val="nil"/>
              <w:bottom w:val="single" w:sz="4" w:space="0" w:color="auto"/>
              <w:right w:val="nil"/>
            </w:tcBorders>
            <w:shd w:val="clear" w:color="auto" w:fill="auto"/>
            <w:noWrap/>
            <w:vAlign w:val="center"/>
          </w:tcPr>
          <w:p w14:paraId="30FE3DAD" w14:textId="77777777" w:rsidR="0089544F" w:rsidRPr="00263C50" w:rsidRDefault="0089544F" w:rsidP="00186583">
            <w:pPr>
              <w:rPr>
                <w:rFonts w:ascii="Times New Roman" w:hAnsi="Times New Roman" w:cs="Times New Roman"/>
                <w:sz w:val="20"/>
                <w:szCs w:val="20"/>
                <w:lang w:val="en-US"/>
              </w:rPr>
            </w:pPr>
          </w:p>
        </w:tc>
        <w:tc>
          <w:tcPr>
            <w:tcW w:w="1535" w:type="dxa"/>
            <w:tcBorders>
              <w:top w:val="single" w:sz="4" w:space="0" w:color="auto"/>
              <w:left w:val="nil"/>
              <w:bottom w:val="single" w:sz="4" w:space="0" w:color="auto"/>
              <w:right w:val="nil"/>
            </w:tcBorders>
            <w:shd w:val="clear" w:color="auto" w:fill="auto"/>
            <w:noWrap/>
            <w:vAlign w:val="center"/>
          </w:tcPr>
          <w:p w14:paraId="2490E02E" w14:textId="77777777" w:rsidR="0089544F" w:rsidRPr="00263C50" w:rsidRDefault="0089544F" w:rsidP="00186583">
            <w:pPr>
              <w:jc w:val="center"/>
              <w:rPr>
                <w:rFonts w:ascii="Times New Roman" w:hAnsi="Times New Roman" w:cs="Times New Roman"/>
                <w:i/>
                <w:sz w:val="20"/>
                <w:szCs w:val="20"/>
                <w:lang w:val="en-US"/>
              </w:rPr>
            </w:pPr>
            <w:r w:rsidRPr="00263C50">
              <w:rPr>
                <w:rFonts w:ascii="Times New Roman" w:hAnsi="Times New Roman" w:cs="Times New Roman"/>
                <w:i/>
                <w:sz w:val="20"/>
                <w:szCs w:val="20"/>
                <w:lang w:val="en-US"/>
              </w:rPr>
              <w:t>Model 1</w:t>
            </w:r>
          </w:p>
        </w:tc>
        <w:tc>
          <w:tcPr>
            <w:tcW w:w="1509" w:type="dxa"/>
            <w:tcBorders>
              <w:top w:val="single" w:sz="4" w:space="0" w:color="auto"/>
              <w:left w:val="nil"/>
              <w:bottom w:val="single" w:sz="4" w:space="0" w:color="auto"/>
              <w:right w:val="nil"/>
            </w:tcBorders>
            <w:vAlign w:val="center"/>
          </w:tcPr>
          <w:p w14:paraId="64F4FF61" w14:textId="77777777" w:rsidR="0089544F" w:rsidRPr="00263C50" w:rsidRDefault="0089544F" w:rsidP="00186583">
            <w:pPr>
              <w:jc w:val="center"/>
              <w:rPr>
                <w:rFonts w:ascii="Times New Roman" w:hAnsi="Times New Roman" w:cs="Times New Roman"/>
                <w:i/>
                <w:sz w:val="20"/>
                <w:szCs w:val="20"/>
                <w:lang w:val="en-US"/>
              </w:rPr>
            </w:pPr>
            <w:r w:rsidRPr="00263C50">
              <w:rPr>
                <w:rFonts w:ascii="Times New Roman" w:hAnsi="Times New Roman" w:cs="Times New Roman"/>
                <w:i/>
                <w:sz w:val="20"/>
                <w:szCs w:val="20"/>
                <w:lang w:val="en-US"/>
              </w:rPr>
              <w:t>Model 2</w:t>
            </w:r>
          </w:p>
        </w:tc>
        <w:tc>
          <w:tcPr>
            <w:tcW w:w="1494" w:type="dxa"/>
            <w:tcBorders>
              <w:top w:val="single" w:sz="4" w:space="0" w:color="auto"/>
              <w:left w:val="nil"/>
              <w:bottom w:val="single" w:sz="4" w:space="0" w:color="auto"/>
              <w:right w:val="nil"/>
            </w:tcBorders>
            <w:vAlign w:val="center"/>
          </w:tcPr>
          <w:p w14:paraId="25F60EB2" w14:textId="77777777" w:rsidR="0089544F" w:rsidRPr="00263C50" w:rsidRDefault="0089544F" w:rsidP="00186583">
            <w:pPr>
              <w:jc w:val="center"/>
              <w:rPr>
                <w:rFonts w:ascii="Times New Roman" w:hAnsi="Times New Roman" w:cs="Times New Roman"/>
                <w:i/>
                <w:sz w:val="20"/>
                <w:szCs w:val="20"/>
                <w:lang w:val="en-US"/>
              </w:rPr>
            </w:pPr>
            <w:r w:rsidRPr="00263C50">
              <w:rPr>
                <w:rFonts w:ascii="Times New Roman" w:hAnsi="Times New Roman" w:cs="Times New Roman"/>
                <w:i/>
                <w:sz w:val="20"/>
                <w:szCs w:val="20"/>
                <w:lang w:val="en-US"/>
              </w:rPr>
              <w:t>Model 3</w:t>
            </w:r>
          </w:p>
        </w:tc>
        <w:tc>
          <w:tcPr>
            <w:tcW w:w="1510" w:type="dxa"/>
            <w:tcBorders>
              <w:top w:val="single" w:sz="4" w:space="0" w:color="auto"/>
              <w:left w:val="nil"/>
              <w:bottom w:val="single" w:sz="4" w:space="0" w:color="auto"/>
              <w:right w:val="nil"/>
            </w:tcBorders>
            <w:vAlign w:val="center"/>
          </w:tcPr>
          <w:p w14:paraId="6B9E9010" w14:textId="77777777" w:rsidR="0089544F" w:rsidRPr="00263C50" w:rsidRDefault="0089544F" w:rsidP="00186583">
            <w:pPr>
              <w:jc w:val="center"/>
              <w:rPr>
                <w:rFonts w:ascii="Times New Roman" w:hAnsi="Times New Roman" w:cs="Times New Roman"/>
                <w:i/>
                <w:sz w:val="20"/>
                <w:szCs w:val="20"/>
                <w:lang w:val="en-US"/>
              </w:rPr>
            </w:pPr>
            <w:r w:rsidRPr="00263C50">
              <w:rPr>
                <w:rFonts w:ascii="Times New Roman" w:hAnsi="Times New Roman" w:cs="Times New Roman"/>
                <w:i/>
                <w:sz w:val="20"/>
                <w:szCs w:val="20"/>
                <w:lang w:val="en-US"/>
              </w:rPr>
              <w:t>Model 4</w:t>
            </w:r>
          </w:p>
        </w:tc>
        <w:tc>
          <w:tcPr>
            <w:tcW w:w="1508" w:type="dxa"/>
            <w:tcBorders>
              <w:top w:val="single" w:sz="4" w:space="0" w:color="auto"/>
              <w:left w:val="nil"/>
              <w:bottom w:val="single" w:sz="4" w:space="0" w:color="auto"/>
              <w:right w:val="nil"/>
            </w:tcBorders>
            <w:vAlign w:val="center"/>
          </w:tcPr>
          <w:p w14:paraId="3D09A801" w14:textId="77777777" w:rsidR="0089544F" w:rsidRPr="00263C50" w:rsidRDefault="0089544F" w:rsidP="00186583">
            <w:pPr>
              <w:jc w:val="center"/>
              <w:rPr>
                <w:rFonts w:ascii="Times New Roman" w:hAnsi="Times New Roman" w:cs="Times New Roman"/>
                <w:i/>
                <w:sz w:val="20"/>
                <w:szCs w:val="20"/>
                <w:lang w:val="en-US"/>
              </w:rPr>
            </w:pPr>
            <w:r w:rsidRPr="00263C50">
              <w:rPr>
                <w:rFonts w:ascii="Times New Roman" w:hAnsi="Times New Roman" w:cs="Times New Roman"/>
                <w:i/>
                <w:sz w:val="20"/>
                <w:szCs w:val="20"/>
                <w:lang w:val="en-US"/>
              </w:rPr>
              <w:t>Model 5</w:t>
            </w:r>
          </w:p>
        </w:tc>
      </w:tr>
      <w:tr w:rsidR="0089544F" w:rsidRPr="00263C50" w14:paraId="7A41C0BE" w14:textId="77777777" w:rsidTr="005668E0">
        <w:trPr>
          <w:trHeight w:val="312"/>
          <w:jc w:val="center"/>
        </w:trPr>
        <w:tc>
          <w:tcPr>
            <w:tcW w:w="1804" w:type="dxa"/>
            <w:tcBorders>
              <w:top w:val="nil"/>
              <w:left w:val="nil"/>
              <w:bottom w:val="nil"/>
              <w:right w:val="nil"/>
            </w:tcBorders>
            <w:shd w:val="clear" w:color="auto" w:fill="auto"/>
            <w:noWrap/>
            <w:vAlign w:val="center"/>
          </w:tcPr>
          <w:p w14:paraId="41621076"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IntroAcctg</w:t>
            </w:r>
            <w:proofErr w:type="spellEnd"/>
          </w:p>
        </w:tc>
        <w:tc>
          <w:tcPr>
            <w:tcW w:w="1535" w:type="dxa"/>
            <w:tcBorders>
              <w:top w:val="nil"/>
              <w:left w:val="nil"/>
              <w:bottom w:val="nil"/>
              <w:right w:val="nil"/>
            </w:tcBorders>
            <w:shd w:val="clear" w:color="auto" w:fill="auto"/>
            <w:noWrap/>
            <w:vAlign w:val="center"/>
          </w:tcPr>
          <w:p w14:paraId="6A1E53C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1509" w:type="dxa"/>
            <w:tcBorders>
              <w:top w:val="nil"/>
              <w:left w:val="nil"/>
              <w:bottom w:val="nil"/>
              <w:right w:val="nil"/>
            </w:tcBorders>
            <w:vAlign w:val="center"/>
          </w:tcPr>
          <w:p w14:paraId="288031F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0.11</w:t>
            </w:r>
          </w:p>
        </w:tc>
        <w:tc>
          <w:tcPr>
            <w:tcW w:w="1494" w:type="dxa"/>
            <w:tcBorders>
              <w:top w:val="nil"/>
              <w:left w:val="nil"/>
              <w:bottom w:val="nil"/>
              <w:right w:val="nil"/>
            </w:tcBorders>
            <w:vAlign w:val="center"/>
          </w:tcPr>
          <w:p w14:paraId="5909873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1510" w:type="dxa"/>
            <w:tcBorders>
              <w:top w:val="nil"/>
              <w:left w:val="nil"/>
              <w:bottom w:val="nil"/>
              <w:right w:val="nil"/>
            </w:tcBorders>
            <w:vAlign w:val="center"/>
          </w:tcPr>
          <w:p w14:paraId="5D94B1C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-0.018</w:t>
            </w:r>
          </w:p>
        </w:tc>
        <w:tc>
          <w:tcPr>
            <w:tcW w:w="1508" w:type="dxa"/>
            <w:tcBorders>
              <w:top w:val="nil"/>
              <w:left w:val="nil"/>
              <w:bottom w:val="nil"/>
              <w:right w:val="nil"/>
            </w:tcBorders>
            <w:vAlign w:val="center"/>
          </w:tcPr>
          <w:p w14:paraId="2C74071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-0.15</w:t>
            </w:r>
          </w:p>
        </w:tc>
      </w:tr>
      <w:tr w:rsidR="0089544F" w:rsidRPr="00263C50" w14:paraId="34ECFEBA" w14:textId="77777777" w:rsidTr="005668E0">
        <w:trPr>
          <w:trHeight w:val="312"/>
          <w:jc w:val="center"/>
        </w:trPr>
        <w:tc>
          <w:tcPr>
            <w:tcW w:w="1804" w:type="dxa"/>
            <w:tcBorders>
              <w:top w:val="nil"/>
              <w:left w:val="nil"/>
              <w:bottom w:val="nil"/>
              <w:right w:val="nil"/>
            </w:tcBorders>
            <w:shd w:val="clear" w:color="auto" w:fill="auto"/>
            <w:noWrap/>
            <w:vAlign w:val="center"/>
          </w:tcPr>
          <w:p w14:paraId="478C37BA" w14:textId="77777777" w:rsidR="0089544F" w:rsidRPr="00263C50" w:rsidRDefault="0089544F" w:rsidP="00186583">
            <w:pPr>
              <w:rPr>
                <w:rFonts w:ascii="Times New Roman" w:hAnsi="Times New Roman" w:cs="Times New Roman"/>
                <w:i/>
                <w:color w:val="000000"/>
                <w:sz w:val="20"/>
                <w:szCs w:val="20"/>
              </w:rPr>
            </w:pPr>
          </w:p>
        </w:tc>
        <w:tc>
          <w:tcPr>
            <w:tcW w:w="1535" w:type="dxa"/>
            <w:tcBorders>
              <w:top w:val="nil"/>
              <w:left w:val="nil"/>
              <w:bottom w:val="nil"/>
              <w:right w:val="nil"/>
            </w:tcBorders>
            <w:shd w:val="clear" w:color="auto" w:fill="auto"/>
            <w:noWrap/>
            <w:vAlign w:val="center"/>
          </w:tcPr>
          <w:p w14:paraId="6942BA67" w14:textId="77777777" w:rsidR="0089544F" w:rsidRPr="00263C50" w:rsidRDefault="0089544F" w:rsidP="00186583">
            <w:pPr>
              <w:jc w:val="center"/>
              <w:rPr>
                <w:rFonts w:ascii="Times New Roman" w:hAnsi="Times New Roman" w:cs="Times New Roman"/>
                <w:color w:val="000000"/>
                <w:sz w:val="20"/>
                <w:szCs w:val="20"/>
              </w:rPr>
            </w:pPr>
          </w:p>
        </w:tc>
        <w:tc>
          <w:tcPr>
            <w:tcW w:w="1509" w:type="dxa"/>
            <w:tcBorders>
              <w:top w:val="nil"/>
              <w:left w:val="nil"/>
              <w:bottom w:val="nil"/>
              <w:right w:val="nil"/>
            </w:tcBorders>
            <w:vAlign w:val="center"/>
          </w:tcPr>
          <w:p w14:paraId="3FF5E77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(0.53)</w:t>
            </w:r>
          </w:p>
        </w:tc>
        <w:tc>
          <w:tcPr>
            <w:tcW w:w="1494" w:type="dxa"/>
            <w:tcBorders>
              <w:top w:val="nil"/>
              <w:left w:val="nil"/>
              <w:bottom w:val="nil"/>
              <w:right w:val="nil"/>
            </w:tcBorders>
            <w:vAlign w:val="center"/>
          </w:tcPr>
          <w:p w14:paraId="57BDCF91" w14:textId="77777777" w:rsidR="0089544F" w:rsidRPr="00263C50" w:rsidRDefault="0089544F" w:rsidP="00186583">
            <w:pPr>
              <w:jc w:val="center"/>
              <w:rPr>
                <w:rFonts w:ascii="Times New Roman" w:hAnsi="Times New Roman" w:cs="Times New Roman"/>
                <w:color w:val="000000"/>
                <w:sz w:val="20"/>
                <w:szCs w:val="20"/>
              </w:rPr>
            </w:pPr>
          </w:p>
        </w:tc>
        <w:tc>
          <w:tcPr>
            <w:tcW w:w="1510" w:type="dxa"/>
            <w:tcBorders>
              <w:top w:val="nil"/>
              <w:left w:val="nil"/>
              <w:bottom w:val="nil"/>
              <w:right w:val="nil"/>
            </w:tcBorders>
            <w:vAlign w:val="center"/>
          </w:tcPr>
          <w:p w14:paraId="27D0D9E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(0.09)</w:t>
            </w:r>
          </w:p>
        </w:tc>
        <w:tc>
          <w:tcPr>
            <w:tcW w:w="1508" w:type="dxa"/>
            <w:tcBorders>
              <w:top w:val="nil"/>
              <w:left w:val="nil"/>
              <w:bottom w:val="nil"/>
              <w:right w:val="nil"/>
            </w:tcBorders>
            <w:vAlign w:val="center"/>
          </w:tcPr>
          <w:p w14:paraId="124324F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(0.97)</w:t>
            </w:r>
          </w:p>
        </w:tc>
      </w:tr>
      <w:tr w:rsidR="0089544F" w:rsidRPr="00263C50" w14:paraId="69937702" w14:textId="77777777" w:rsidTr="005668E0">
        <w:trPr>
          <w:trHeight w:val="312"/>
          <w:jc w:val="center"/>
        </w:trPr>
        <w:tc>
          <w:tcPr>
            <w:tcW w:w="1804" w:type="dxa"/>
            <w:tcBorders>
              <w:top w:val="nil"/>
              <w:left w:val="nil"/>
              <w:bottom w:val="nil"/>
              <w:right w:val="nil"/>
            </w:tcBorders>
            <w:shd w:val="clear" w:color="auto" w:fill="auto"/>
            <w:noWrap/>
            <w:vAlign w:val="center"/>
          </w:tcPr>
          <w:p w14:paraId="02F502DC"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UpperAcctg</w:t>
            </w:r>
            <w:proofErr w:type="spellEnd"/>
          </w:p>
        </w:tc>
        <w:tc>
          <w:tcPr>
            <w:tcW w:w="1535" w:type="dxa"/>
            <w:tcBorders>
              <w:top w:val="nil"/>
              <w:left w:val="nil"/>
              <w:bottom w:val="nil"/>
              <w:right w:val="nil"/>
            </w:tcBorders>
            <w:shd w:val="clear" w:color="auto" w:fill="auto"/>
            <w:noWrap/>
            <w:vAlign w:val="center"/>
          </w:tcPr>
          <w:p w14:paraId="0C7B6AD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1509" w:type="dxa"/>
            <w:tcBorders>
              <w:top w:val="nil"/>
              <w:left w:val="nil"/>
              <w:bottom w:val="nil"/>
              <w:right w:val="nil"/>
            </w:tcBorders>
            <w:vAlign w:val="center"/>
          </w:tcPr>
          <w:p w14:paraId="75BFA24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0.60***</w:t>
            </w:r>
          </w:p>
        </w:tc>
        <w:tc>
          <w:tcPr>
            <w:tcW w:w="1494" w:type="dxa"/>
            <w:tcBorders>
              <w:top w:val="nil"/>
              <w:left w:val="nil"/>
              <w:bottom w:val="nil"/>
              <w:right w:val="nil"/>
            </w:tcBorders>
            <w:vAlign w:val="center"/>
          </w:tcPr>
          <w:p w14:paraId="53C1C0F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1510" w:type="dxa"/>
            <w:tcBorders>
              <w:top w:val="nil"/>
              <w:left w:val="nil"/>
              <w:bottom w:val="nil"/>
              <w:right w:val="nil"/>
            </w:tcBorders>
            <w:vAlign w:val="center"/>
          </w:tcPr>
          <w:p w14:paraId="4B14E1C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0.081</w:t>
            </w:r>
          </w:p>
        </w:tc>
        <w:tc>
          <w:tcPr>
            <w:tcW w:w="1508" w:type="dxa"/>
            <w:tcBorders>
              <w:top w:val="nil"/>
              <w:left w:val="nil"/>
              <w:bottom w:val="nil"/>
              <w:right w:val="nil"/>
            </w:tcBorders>
            <w:vAlign w:val="center"/>
          </w:tcPr>
          <w:p w14:paraId="7B25860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-0.25</w:t>
            </w:r>
          </w:p>
        </w:tc>
      </w:tr>
      <w:tr w:rsidR="0089544F" w:rsidRPr="00263C50" w14:paraId="6D7F27B4" w14:textId="77777777" w:rsidTr="005668E0">
        <w:trPr>
          <w:trHeight w:val="312"/>
          <w:jc w:val="center"/>
        </w:trPr>
        <w:tc>
          <w:tcPr>
            <w:tcW w:w="1804" w:type="dxa"/>
            <w:tcBorders>
              <w:top w:val="nil"/>
              <w:left w:val="nil"/>
              <w:bottom w:val="nil"/>
              <w:right w:val="nil"/>
            </w:tcBorders>
            <w:shd w:val="clear" w:color="auto" w:fill="auto"/>
            <w:noWrap/>
            <w:vAlign w:val="center"/>
          </w:tcPr>
          <w:p w14:paraId="5949780B" w14:textId="77777777" w:rsidR="0089544F" w:rsidRPr="00263C50" w:rsidRDefault="0089544F" w:rsidP="00186583">
            <w:pPr>
              <w:rPr>
                <w:rFonts w:ascii="Times New Roman" w:hAnsi="Times New Roman" w:cs="Times New Roman"/>
                <w:i/>
                <w:color w:val="000000"/>
                <w:sz w:val="20"/>
                <w:szCs w:val="20"/>
              </w:rPr>
            </w:pPr>
          </w:p>
        </w:tc>
        <w:tc>
          <w:tcPr>
            <w:tcW w:w="1535" w:type="dxa"/>
            <w:tcBorders>
              <w:top w:val="nil"/>
              <w:left w:val="nil"/>
              <w:bottom w:val="nil"/>
              <w:right w:val="nil"/>
            </w:tcBorders>
            <w:shd w:val="clear" w:color="auto" w:fill="auto"/>
            <w:noWrap/>
            <w:vAlign w:val="center"/>
          </w:tcPr>
          <w:p w14:paraId="728F228C" w14:textId="77777777" w:rsidR="0089544F" w:rsidRPr="00263C50" w:rsidRDefault="0089544F" w:rsidP="00186583">
            <w:pPr>
              <w:jc w:val="center"/>
              <w:rPr>
                <w:rFonts w:ascii="Times New Roman" w:hAnsi="Times New Roman" w:cs="Times New Roman"/>
                <w:color w:val="000000"/>
                <w:sz w:val="20"/>
                <w:szCs w:val="20"/>
              </w:rPr>
            </w:pPr>
          </w:p>
        </w:tc>
        <w:tc>
          <w:tcPr>
            <w:tcW w:w="1509" w:type="dxa"/>
            <w:tcBorders>
              <w:top w:val="nil"/>
              <w:left w:val="nil"/>
              <w:bottom w:val="nil"/>
              <w:right w:val="nil"/>
            </w:tcBorders>
            <w:vAlign w:val="center"/>
          </w:tcPr>
          <w:p w14:paraId="782D4BE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(2.99)</w:t>
            </w:r>
          </w:p>
        </w:tc>
        <w:tc>
          <w:tcPr>
            <w:tcW w:w="1494" w:type="dxa"/>
            <w:tcBorders>
              <w:top w:val="nil"/>
              <w:left w:val="nil"/>
              <w:bottom w:val="nil"/>
              <w:right w:val="nil"/>
            </w:tcBorders>
            <w:vAlign w:val="center"/>
          </w:tcPr>
          <w:p w14:paraId="7CC66855" w14:textId="77777777" w:rsidR="0089544F" w:rsidRPr="00263C50" w:rsidRDefault="0089544F" w:rsidP="00186583">
            <w:pPr>
              <w:jc w:val="center"/>
              <w:rPr>
                <w:rFonts w:ascii="Times New Roman" w:hAnsi="Times New Roman" w:cs="Times New Roman"/>
                <w:color w:val="000000"/>
                <w:sz w:val="20"/>
                <w:szCs w:val="20"/>
              </w:rPr>
            </w:pPr>
          </w:p>
        </w:tc>
        <w:tc>
          <w:tcPr>
            <w:tcW w:w="1510" w:type="dxa"/>
            <w:tcBorders>
              <w:top w:val="nil"/>
              <w:left w:val="nil"/>
              <w:bottom w:val="nil"/>
              <w:right w:val="nil"/>
            </w:tcBorders>
            <w:vAlign w:val="center"/>
          </w:tcPr>
          <w:p w14:paraId="629D8FB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(0.38)</w:t>
            </w:r>
          </w:p>
        </w:tc>
        <w:tc>
          <w:tcPr>
            <w:tcW w:w="1508" w:type="dxa"/>
            <w:tcBorders>
              <w:top w:val="nil"/>
              <w:left w:val="nil"/>
              <w:bottom w:val="nil"/>
              <w:right w:val="nil"/>
            </w:tcBorders>
            <w:vAlign w:val="center"/>
          </w:tcPr>
          <w:p w14:paraId="519F760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(1.52)</w:t>
            </w:r>
          </w:p>
        </w:tc>
      </w:tr>
      <w:tr w:rsidR="0089544F" w:rsidRPr="00263C50" w14:paraId="55625C24" w14:textId="77777777" w:rsidTr="005668E0">
        <w:trPr>
          <w:trHeight w:val="312"/>
          <w:jc w:val="center"/>
        </w:trPr>
        <w:tc>
          <w:tcPr>
            <w:tcW w:w="1804" w:type="dxa"/>
            <w:tcBorders>
              <w:top w:val="nil"/>
              <w:left w:val="nil"/>
              <w:bottom w:val="nil"/>
              <w:right w:val="nil"/>
            </w:tcBorders>
            <w:shd w:val="clear" w:color="auto" w:fill="auto"/>
            <w:noWrap/>
            <w:vAlign w:val="center"/>
          </w:tcPr>
          <w:p w14:paraId="422323B2"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IntroTax</w:t>
            </w:r>
            <w:proofErr w:type="spellEnd"/>
          </w:p>
        </w:tc>
        <w:tc>
          <w:tcPr>
            <w:tcW w:w="1535" w:type="dxa"/>
            <w:tcBorders>
              <w:top w:val="nil"/>
              <w:left w:val="nil"/>
              <w:bottom w:val="nil"/>
              <w:right w:val="nil"/>
            </w:tcBorders>
            <w:shd w:val="clear" w:color="auto" w:fill="auto"/>
            <w:noWrap/>
            <w:vAlign w:val="center"/>
          </w:tcPr>
          <w:p w14:paraId="591D2E8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1509" w:type="dxa"/>
            <w:tcBorders>
              <w:top w:val="nil"/>
              <w:left w:val="nil"/>
              <w:bottom w:val="nil"/>
              <w:right w:val="nil"/>
            </w:tcBorders>
            <w:vAlign w:val="center"/>
          </w:tcPr>
          <w:p w14:paraId="4F8E696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1494" w:type="dxa"/>
            <w:tcBorders>
              <w:top w:val="nil"/>
              <w:left w:val="nil"/>
              <w:bottom w:val="nil"/>
              <w:right w:val="nil"/>
            </w:tcBorders>
            <w:vAlign w:val="center"/>
          </w:tcPr>
          <w:p w14:paraId="256E5A0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0.79***</w:t>
            </w:r>
          </w:p>
        </w:tc>
        <w:tc>
          <w:tcPr>
            <w:tcW w:w="1510" w:type="dxa"/>
            <w:tcBorders>
              <w:top w:val="nil"/>
              <w:left w:val="nil"/>
              <w:bottom w:val="nil"/>
              <w:right w:val="nil"/>
            </w:tcBorders>
            <w:vAlign w:val="center"/>
          </w:tcPr>
          <w:p w14:paraId="15808E9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0.74***</w:t>
            </w:r>
          </w:p>
        </w:tc>
        <w:tc>
          <w:tcPr>
            <w:tcW w:w="1508" w:type="dxa"/>
            <w:tcBorders>
              <w:top w:val="nil"/>
              <w:left w:val="nil"/>
              <w:bottom w:val="nil"/>
              <w:right w:val="nil"/>
            </w:tcBorders>
            <w:vAlign w:val="center"/>
          </w:tcPr>
          <w:p w14:paraId="7FEA2A3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0.55***</w:t>
            </w:r>
          </w:p>
        </w:tc>
      </w:tr>
      <w:tr w:rsidR="0089544F" w:rsidRPr="00263C50" w14:paraId="3E5B84A7" w14:textId="77777777" w:rsidTr="005668E0">
        <w:trPr>
          <w:trHeight w:val="312"/>
          <w:jc w:val="center"/>
        </w:trPr>
        <w:tc>
          <w:tcPr>
            <w:tcW w:w="1804" w:type="dxa"/>
            <w:tcBorders>
              <w:top w:val="nil"/>
              <w:left w:val="nil"/>
              <w:bottom w:val="nil"/>
              <w:right w:val="nil"/>
            </w:tcBorders>
            <w:shd w:val="clear" w:color="auto" w:fill="auto"/>
            <w:noWrap/>
            <w:vAlign w:val="center"/>
          </w:tcPr>
          <w:p w14:paraId="3975BB1A" w14:textId="77777777" w:rsidR="0089544F" w:rsidRPr="00263C50" w:rsidRDefault="0089544F" w:rsidP="00186583">
            <w:pPr>
              <w:rPr>
                <w:rFonts w:ascii="Times New Roman" w:hAnsi="Times New Roman" w:cs="Times New Roman"/>
                <w:i/>
                <w:color w:val="000000"/>
                <w:sz w:val="20"/>
                <w:szCs w:val="20"/>
              </w:rPr>
            </w:pPr>
          </w:p>
        </w:tc>
        <w:tc>
          <w:tcPr>
            <w:tcW w:w="1535" w:type="dxa"/>
            <w:tcBorders>
              <w:top w:val="nil"/>
              <w:left w:val="nil"/>
              <w:bottom w:val="nil"/>
              <w:right w:val="nil"/>
            </w:tcBorders>
            <w:shd w:val="clear" w:color="auto" w:fill="auto"/>
            <w:noWrap/>
            <w:vAlign w:val="center"/>
          </w:tcPr>
          <w:p w14:paraId="7497AF1B" w14:textId="77777777" w:rsidR="0089544F" w:rsidRPr="00263C50" w:rsidRDefault="0089544F" w:rsidP="00186583">
            <w:pPr>
              <w:jc w:val="center"/>
              <w:rPr>
                <w:rFonts w:ascii="Times New Roman" w:hAnsi="Times New Roman" w:cs="Times New Roman"/>
                <w:color w:val="000000"/>
                <w:sz w:val="20"/>
                <w:szCs w:val="20"/>
              </w:rPr>
            </w:pPr>
          </w:p>
        </w:tc>
        <w:tc>
          <w:tcPr>
            <w:tcW w:w="1509" w:type="dxa"/>
            <w:tcBorders>
              <w:top w:val="nil"/>
              <w:left w:val="nil"/>
              <w:bottom w:val="nil"/>
              <w:right w:val="nil"/>
            </w:tcBorders>
            <w:vAlign w:val="center"/>
          </w:tcPr>
          <w:p w14:paraId="7A2596C4" w14:textId="77777777" w:rsidR="0089544F" w:rsidRPr="00263C50" w:rsidRDefault="0089544F" w:rsidP="00186583">
            <w:pPr>
              <w:jc w:val="center"/>
              <w:rPr>
                <w:rFonts w:ascii="Times New Roman" w:hAnsi="Times New Roman" w:cs="Times New Roman"/>
                <w:color w:val="000000"/>
                <w:sz w:val="20"/>
                <w:szCs w:val="20"/>
              </w:rPr>
            </w:pPr>
          </w:p>
        </w:tc>
        <w:tc>
          <w:tcPr>
            <w:tcW w:w="1494" w:type="dxa"/>
            <w:tcBorders>
              <w:top w:val="nil"/>
              <w:left w:val="nil"/>
              <w:bottom w:val="nil"/>
              <w:right w:val="nil"/>
            </w:tcBorders>
            <w:vAlign w:val="center"/>
          </w:tcPr>
          <w:p w14:paraId="0F15D61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(4.61)</w:t>
            </w:r>
          </w:p>
        </w:tc>
        <w:tc>
          <w:tcPr>
            <w:tcW w:w="1510" w:type="dxa"/>
            <w:tcBorders>
              <w:top w:val="nil"/>
              <w:left w:val="nil"/>
              <w:bottom w:val="nil"/>
              <w:right w:val="nil"/>
            </w:tcBorders>
            <w:vAlign w:val="center"/>
          </w:tcPr>
          <w:p w14:paraId="53C1FD3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(3.94)</w:t>
            </w:r>
          </w:p>
        </w:tc>
        <w:tc>
          <w:tcPr>
            <w:tcW w:w="1508" w:type="dxa"/>
            <w:tcBorders>
              <w:top w:val="nil"/>
              <w:left w:val="nil"/>
              <w:bottom w:val="nil"/>
              <w:right w:val="nil"/>
            </w:tcBorders>
            <w:vAlign w:val="center"/>
          </w:tcPr>
          <w:p w14:paraId="541B821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(3.67)</w:t>
            </w:r>
          </w:p>
        </w:tc>
      </w:tr>
      <w:tr w:rsidR="0089544F" w:rsidRPr="00263C50" w14:paraId="2C01D621" w14:textId="77777777" w:rsidTr="005668E0">
        <w:trPr>
          <w:trHeight w:val="312"/>
          <w:jc w:val="center"/>
        </w:trPr>
        <w:tc>
          <w:tcPr>
            <w:tcW w:w="1804" w:type="dxa"/>
            <w:tcBorders>
              <w:top w:val="nil"/>
              <w:left w:val="nil"/>
              <w:bottom w:val="nil"/>
              <w:right w:val="nil"/>
            </w:tcBorders>
            <w:shd w:val="clear" w:color="auto" w:fill="auto"/>
            <w:noWrap/>
            <w:vAlign w:val="center"/>
          </w:tcPr>
          <w:p w14:paraId="57FCC6A5"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UpperTax</w:t>
            </w:r>
            <w:proofErr w:type="spellEnd"/>
          </w:p>
        </w:tc>
        <w:tc>
          <w:tcPr>
            <w:tcW w:w="1535" w:type="dxa"/>
            <w:tcBorders>
              <w:top w:val="nil"/>
              <w:left w:val="nil"/>
              <w:bottom w:val="nil"/>
              <w:right w:val="nil"/>
            </w:tcBorders>
            <w:shd w:val="clear" w:color="auto" w:fill="auto"/>
            <w:noWrap/>
            <w:vAlign w:val="center"/>
          </w:tcPr>
          <w:p w14:paraId="175D88D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1509" w:type="dxa"/>
            <w:tcBorders>
              <w:top w:val="nil"/>
              <w:left w:val="nil"/>
              <w:bottom w:val="nil"/>
              <w:right w:val="nil"/>
            </w:tcBorders>
            <w:vAlign w:val="center"/>
          </w:tcPr>
          <w:p w14:paraId="7A56DB2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w:t>
            </w:r>
          </w:p>
        </w:tc>
        <w:tc>
          <w:tcPr>
            <w:tcW w:w="1494" w:type="dxa"/>
            <w:tcBorders>
              <w:top w:val="nil"/>
              <w:left w:val="nil"/>
              <w:bottom w:val="nil"/>
              <w:right w:val="nil"/>
            </w:tcBorders>
            <w:vAlign w:val="center"/>
          </w:tcPr>
          <w:p w14:paraId="7122FCA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0.95***</w:t>
            </w:r>
          </w:p>
        </w:tc>
        <w:tc>
          <w:tcPr>
            <w:tcW w:w="1510" w:type="dxa"/>
            <w:tcBorders>
              <w:top w:val="nil"/>
              <w:left w:val="nil"/>
              <w:bottom w:val="nil"/>
              <w:right w:val="nil"/>
            </w:tcBorders>
            <w:vAlign w:val="center"/>
          </w:tcPr>
          <w:p w14:paraId="664277A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0.89***</w:t>
            </w:r>
          </w:p>
        </w:tc>
        <w:tc>
          <w:tcPr>
            <w:tcW w:w="1508" w:type="dxa"/>
            <w:tcBorders>
              <w:top w:val="nil"/>
              <w:left w:val="nil"/>
              <w:bottom w:val="nil"/>
              <w:right w:val="nil"/>
            </w:tcBorders>
            <w:vAlign w:val="center"/>
          </w:tcPr>
          <w:p w14:paraId="1EF4AF9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0.65***</w:t>
            </w:r>
          </w:p>
        </w:tc>
      </w:tr>
      <w:tr w:rsidR="0089544F" w:rsidRPr="00263C50" w14:paraId="790F042D" w14:textId="77777777" w:rsidTr="005668E0">
        <w:trPr>
          <w:trHeight w:val="312"/>
          <w:jc w:val="center"/>
        </w:trPr>
        <w:tc>
          <w:tcPr>
            <w:tcW w:w="1804" w:type="dxa"/>
            <w:tcBorders>
              <w:top w:val="nil"/>
              <w:left w:val="nil"/>
              <w:right w:val="nil"/>
            </w:tcBorders>
            <w:shd w:val="clear" w:color="auto" w:fill="auto"/>
            <w:noWrap/>
            <w:vAlign w:val="center"/>
          </w:tcPr>
          <w:p w14:paraId="5D807D63" w14:textId="77777777" w:rsidR="0089544F" w:rsidRPr="00263C50" w:rsidRDefault="0089544F" w:rsidP="00186583">
            <w:pPr>
              <w:rPr>
                <w:rFonts w:ascii="Times New Roman" w:hAnsi="Times New Roman" w:cs="Times New Roman"/>
                <w:i/>
                <w:color w:val="000000"/>
                <w:sz w:val="20"/>
                <w:szCs w:val="20"/>
              </w:rPr>
            </w:pPr>
          </w:p>
        </w:tc>
        <w:tc>
          <w:tcPr>
            <w:tcW w:w="1535" w:type="dxa"/>
            <w:tcBorders>
              <w:top w:val="nil"/>
              <w:left w:val="nil"/>
              <w:right w:val="nil"/>
            </w:tcBorders>
            <w:shd w:val="clear" w:color="auto" w:fill="auto"/>
            <w:noWrap/>
            <w:vAlign w:val="center"/>
          </w:tcPr>
          <w:p w14:paraId="25573128" w14:textId="77777777" w:rsidR="0089544F" w:rsidRPr="00263C50" w:rsidRDefault="0089544F" w:rsidP="00186583">
            <w:pPr>
              <w:jc w:val="center"/>
              <w:rPr>
                <w:rFonts w:ascii="Times New Roman" w:hAnsi="Times New Roman" w:cs="Times New Roman"/>
                <w:color w:val="000000"/>
                <w:sz w:val="20"/>
                <w:szCs w:val="20"/>
              </w:rPr>
            </w:pPr>
          </w:p>
        </w:tc>
        <w:tc>
          <w:tcPr>
            <w:tcW w:w="1509" w:type="dxa"/>
            <w:tcBorders>
              <w:top w:val="nil"/>
              <w:left w:val="nil"/>
              <w:right w:val="nil"/>
            </w:tcBorders>
            <w:vAlign w:val="center"/>
          </w:tcPr>
          <w:p w14:paraId="1D059E7B" w14:textId="77777777" w:rsidR="0089544F" w:rsidRPr="00263C50" w:rsidRDefault="0089544F" w:rsidP="00186583">
            <w:pPr>
              <w:jc w:val="center"/>
              <w:rPr>
                <w:rFonts w:ascii="Times New Roman" w:hAnsi="Times New Roman" w:cs="Times New Roman"/>
                <w:color w:val="000000"/>
                <w:sz w:val="20"/>
                <w:szCs w:val="20"/>
              </w:rPr>
            </w:pPr>
          </w:p>
        </w:tc>
        <w:tc>
          <w:tcPr>
            <w:tcW w:w="1494" w:type="dxa"/>
            <w:tcBorders>
              <w:top w:val="nil"/>
              <w:left w:val="nil"/>
              <w:right w:val="nil"/>
            </w:tcBorders>
            <w:vAlign w:val="center"/>
          </w:tcPr>
          <w:p w14:paraId="7B9D8B1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(5.84)</w:t>
            </w:r>
          </w:p>
        </w:tc>
        <w:tc>
          <w:tcPr>
            <w:tcW w:w="1510" w:type="dxa"/>
            <w:tcBorders>
              <w:top w:val="nil"/>
              <w:left w:val="nil"/>
              <w:right w:val="nil"/>
            </w:tcBorders>
            <w:vAlign w:val="center"/>
          </w:tcPr>
          <w:p w14:paraId="65ED798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(4.77)</w:t>
            </w:r>
          </w:p>
        </w:tc>
        <w:tc>
          <w:tcPr>
            <w:tcW w:w="1508" w:type="dxa"/>
            <w:tcBorders>
              <w:top w:val="nil"/>
              <w:left w:val="nil"/>
              <w:right w:val="nil"/>
            </w:tcBorders>
            <w:vAlign w:val="center"/>
          </w:tcPr>
          <w:p w14:paraId="625BDBE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(4.56)</w:t>
            </w:r>
          </w:p>
        </w:tc>
      </w:tr>
      <w:tr w:rsidR="0089544F" w:rsidRPr="00263C50" w14:paraId="0E4BD0E5" w14:textId="77777777" w:rsidTr="005668E0">
        <w:trPr>
          <w:trHeight w:val="312"/>
          <w:jc w:val="center"/>
        </w:trPr>
        <w:tc>
          <w:tcPr>
            <w:tcW w:w="1804" w:type="dxa"/>
            <w:tcBorders>
              <w:left w:val="nil"/>
              <w:right w:val="nil"/>
            </w:tcBorders>
            <w:shd w:val="clear" w:color="auto" w:fill="auto"/>
            <w:noWrap/>
            <w:vAlign w:val="center"/>
          </w:tcPr>
          <w:p w14:paraId="50203074"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eastAsia="Times New Roman" w:hAnsi="Times New Roman" w:cs="Times New Roman"/>
                <w:i/>
                <w:color w:val="000000"/>
                <w:sz w:val="20"/>
                <w:szCs w:val="20"/>
                <w:lang w:val="en-US" w:eastAsia="zh-TW"/>
              </w:rPr>
              <w:t>TaxLit</w:t>
            </w:r>
            <w:proofErr w:type="spellEnd"/>
          </w:p>
        </w:tc>
        <w:tc>
          <w:tcPr>
            <w:tcW w:w="1535" w:type="dxa"/>
            <w:tcBorders>
              <w:left w:val="nil"/>
              <w:right w:val="nil"/>
            </w:tcBorders>
            <w:shd w:val="clear" w:color="auto" w:fill="auto"/>
            <w:noWrap/>
            <w:vAlign w:val="center"/>
          </w:tcPr>
          <w:p w14:paraId="7DEFA096"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0.99***</w:t>
            </w:r>
          </w:p>
        </w:tc>
        <w:tc>
          <w:tcPr>
            <w:tcW w:w="1509" w:type="dxa"/>
            <w:tcBorders>
              <w:left w:val="nil"/>
              <w:right w:val="nil"/>
            </w:tcBorders>
            <w:vAlign w:val="center"/>
          </w:tcPr>
          <w:p w14:paraId="6CF0A183"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w:t>
            </w:r>
          </w:p>
        </w:tc>
        <w:tc>
          <w:tcPr>
            <w:tcW w:w="1494" w:type="dxa"/>
            <w:tcBorders>
              <w:left w:val="nil"/>
              <w:right w:val="nil"/>
            </w:tcBorders>
            <w:vAlign w:val="center"/>
          </w:tcPr>
          <w:p w14:paraId="667104B7"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w:t>
            </w:r>
          </w:p>
        </w:tc>
        <w:tc>
          <w:tcPr>
            <w:tcW w:w="1510" w:type="dxa"/>
            <w:tcBorders>
              <w:left w:val="nil"/>
              <w:right w:val="nil"/>
            </w:tcBorders>
            <w:vAlign w:val="center"/>
          </w:tcPr>
          <w:p w14:paraId="18CED080"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w:t>
            </w:r>
          </w:p>
        </w:tc>
        <w:tc>
          <w:tcPr>
            <w:tcW w:w="1508" w:type="dxa"/>
            <w:tcBorders>
              <w:left w:val="nil"/>
              <w:right w:val="nil"/>
            </w:tcBorders>
            <w:vAlign w:val="center"/>
          </w:tcPr>
          <w:p w14:paraId="5121872E"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0.77**</w:t>
            </w:r>
          </w:p>
        </w:tc>
      </w:tr>
      <w:tr w:rsidR="0089544F" w:rsidRPr="00263C50" w14:paraId="00DA6B71" w14:textId="77777777" w:rsidTr="005668E0">
        <w:trPr>
          <w:trHeight w:val="312"/>
          <w:jc w:val="center"/>
        </w:trPr>
        <w:tc>
          <w:tcPr>
            <w:tcW w:w="1804" w:type="dxa"/>
            <w:tcBorders>
              <w:left w:val="nil"/>
              <w:bottom w:val="nil"/>
              <w:right w:val="nil"/>
            </w:tcBorders>
            <w:shd w:val="clear" w:color="auto" w:fill="auto"/>
            <w:noWrap/>
            <w:vAlign w:val="center"/>
          </w:tcPr>
          <w:p w14:paraId="0D99AB39"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35" w:type="dxa"/>
            <w:tcBorders>
              <w:left w:val="nil"/>
              <w:bottom w:val="nil"/>
              <w:right w:val="nil"/>
            </w:tcBorders>
            <w:shd w:val="clear" w:color="auto" w:fill="auto"/>
            <w:noWrap/>
            <w:vAlign w:val="center"/>
          </w:tcPr>
          <w:p w14:paraId="5B4A6EDD"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(3.19)</w:t>
            </w:r>
          </w:p>
        </w:tc>
        <w:tc>
          <w:tcPr>
            <w:tcW w:w="1509" w:type="dxa"/>
            <w:tcBorders>
              <w:left w:val="nil"/>
              <w:bottom w:val="nil"/>
              <w:right w:val="nil"/>
            </w:tcBorders>
            <w:vAlign w:val="center"/>
          </w:tcPr>
          <w:p w14:paraId="518C0739"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p>
        </w:tc>
        <w:tc>
          <w:tcPr>
            <w:tcW w:w="1494" w:type="dxa"/>
            <w:tcBorders>
              <w:left w:val="nil"/>
              <w:bottom w:val="nil"/>
              <w:right w:val="nil"/>
            </w:tcBorders>
            <w:vAlign w:val="center"/>
          </w:tcPr>
          <w:p w14:paraId="03FE07FA"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p>
        </w:tc>
        <w:tc>
          <w:tcPr>
            <w:tcW w:w="1510" w:type="dxa"/>
            <w:tcBorders>
              <w:left w:val="nil"/>
              <w:bottom w:val="nil"/>
              <w:right w:val="nil"/>
            </w:tcBorders>
            <w:vAlign w:val="center"/>
          </w:tcPr>
          <w:p w14:paraId="4384B55F"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p>
        </w:tc>
        <w:tc>
          <w:tcPr>
            <w:tcW w:w="1508" w:type="dxa"/>
            <w:tcBorders>
              <w:left w:val="nil"/>
              <w:bottom w:val="nil"/>
              <w:right w:val="nil"/>
            </w:tcBorders>
            <w:vAlign w:val="center"/>
          </w:tcPr>
          <w:p w14:paraId="552ED627"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(2.51)</w:t>
            </w:r>
          </w:p>
        </w:tc>
      </w:tr>
      <w:tr w:rsidR="0089544F" w:rsidRPr="00263C50" w14:paraId="3AD07EB8" w14:textId="77777777" w:rsidTr="005668E0">
        <w:trPr>
          <w:trHeight w:val="312"/>
          <w:jc w:val="center"/>
        </w:trPr>
        <w:tc>
          <w:tcPr>
            <w:tcW w:w="1804" w:type="dxa"/>
            <w:tcBorders>
              <w:left w:val="nil"/>
              <w:bottom w:val="nil"/>
              <w:right w:val="nil"/>
            </w:tcBorders>
            <w:shd w:val="clear" w:color="auto" w:fill="auto"/>
            <w:noWrap/>
            <w:vAlign w:val="center"/>
          </w:tcPr>
          <w:p w14:paraId="56587649"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eastAsia="Times New Roman" w:hAnsi="Times New Roman" w:cs="Times New Roman"/>
                <w:i/>
                <w:color w:val="000000"/>
                <w:sz w:val="20"/>
                <w:szCs w:val="20"/>
                <w:lang w:val="en-US" w:eastAsia="zh-TW"/>
              </w:rPr>
              <w:t>FinLit</w:t>
            </w:r>
            <w:proofErr w:type="spellEnd"/>
          </w:p>
        </w:tc>
        <w:tc>
          <w:tcPr>
            <w:tcW w:w="1535" w:type="dxa"/>
            <w:tcBorders>
              <w:left w:val="nil"/>
              <w:bottom w:val="nil"/>
              <w:right w:val="nil"/>
            </w:tcBorders>
            <w:shd w:val="clear" w:color="auto" w:fill="auto"/>
            <w:noWrap/>
            <w:vAlign w:val="center"/>
          </w:tcPr>
          <w:p w14:paraId="1ABEBD1E"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-0.61**</w:t>
            </w:r>
          </w:p>
        </w:tc>
        <w:tc>
          <w:tcPr>
            <w:tcW w:w="1509" w:type="dxa"/>
            <w:tcBorders>
              <w:left w:val="nil"/>
              <w:bottom w:val="nil"/>
              <w:right w:val="nil"/>
            </w:tcBorders>
            <w:vAlign w:val="center"/>
          </w:tcPr>
          <w:p w14:paraId="2269EABD"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w:t>
            </w:r>
          </w:p>
        </w:tc>
        <w:tc>
          <w:tcPr>
            <w:tcW w:w="1494" w:type="dxa"/>
            <w:tcBorders>
              <w:left w:val="nil"/>
              <w:bottom w:val="nil"/>
              <w:right w:val="nil"/>
            </w:tcBorders>
            <w:vAlign w:val="center"/>
          </w:tcPr>
          <w:p w14:paraId="545F0909"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w:t>
            </w:r>
          </w:p>
        </w:tc>
        <w:tc>
          <w:tcPr>
            <w:tcW w:w="1510" w:type="dxa"/>
            <w:tcBorders>
              <w:left w:val="nil"/>
              <w:bottom w:val="nil"/>
              <w:right w:val="nil"/>
            </w:tcBorders>
            <w:vAlign w:val="center"/>
          </w:tcPr>
          <w:p w14:paraId="5CEA76D5"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w:t>
            </w:r>
          </w:p>
        </w:tc>
        <w:tc>
          <w:tcPr>
            <w:tcW w:w="1508" w:type="dxa"/>
            <w:tcBorders>
              <w:left w:val="nil"/>
              <w:bottom w:val="nil"/>
              <w:right w:val="nil"/>
            </w:tcBorders>
            <w:vAlign w:val="center"/>
          </w:tcPr>
          <w:p w14:paraId="29DDBE0B"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-0.42*</w:t>
            </w:r>
          </w:p>
        </w:tc>
      </w:tr>
      <w:tr w:rsidR="0089544F" w:rsidRPr="00263C50" w14:paraId="6D3B2D4C" w14:textId="77777777" w:rsidTr="005668E0">
        <w:trPr>
          <w:trHeight w:val="312"/>
          <w:jc w:val="center"/>
        </w:trPr>
        <w:tc>
          <w:tcPr>
            <w:tcW w:w="1804" w:type="dxa"/>
            <w:tcBorders>
              <w:left w:val="nil"/>
              <w:bottom w:val="nil"/>
              <w:right w:val="nil"/>
            </w:tcBorders>
            <w:shd w:val="clear" w:color="auto" w:fill="auto"/>
            <w:noWrap/>
            <w:vAlign w:val="center"/>
          </w:tcPr>
          <w:p w14:paraId="6B9A20B3"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35" w:type="dxa"/>
            <w:tcBorders>
              <w:left w:val="nil"/>
              <w:bottom w:val="nil"/>
              <w:right w:val="nil"/>
            </w:tcBorders>
            <w:shd w:val="clear" w:color="auto" w:fill="auto"/>
            <w:noWrap/>
            <w:vAlign w:val="center"/>
          </w:tcPr>
          <w:p w14:paraId="12E5544A"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(-2.25)</w:t>
            </w:r>
          </w:p>
        </w:tc>
        <w:tc>
          <w:tcPr>
            <w:tcW w:w="1509" w:type="dxa"/>
            <w:tcBorders>
              <w:left w:val="nil"/>
              <w:bottom w:val="nil"/>
              <w:right w:val="nil"/>
            </w:tcBorders>
            <w:vAlign w:val="center"/>
          </w:tcPr>
          <w:p w14:paraId="02DF45AC"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p>
        </w:tc>
        <w:tc>
          <w:tcPr>
            <w:tcW w:w="1494" w:type="dxa"/>
            <w:tcBorders>
              <w:left w:val="nil"/>
              <w:bottom w:val="nil"/>
              <w:right w:val="nil"/>
            </w:tcBorders>
            <w:vAlign w:val="center"/>
          </w:tcPr>
          <w:p w14:paraId="4A808018"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p>
        </w:tc>
        <w:tc>
          <w:tcPr>
            <w:tcW w:w="1510" w:type="dxa"/>
            <w:tcBorders>
              <w:left w:val="nil"/>
              <w:bottom w:val="nil"/>
              <w:right w:val="nil"/>
            </w:tcBorders>
            <w:vAlign w:val="center"/>
          </w:tcPr>
          <w:p w14:paraId="3EBF03CB"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p>
        </w:tc>
        <w:tc>
          <w:tcPr>
            <w:tcW w:w="1508" w:type="dxa"/>
            <w:tcBorders>
              <w:left w:val="nil"/>
              <w:bottom w:val="nil"/>
              <w:right w:val="nil"/>
            </w:tcBorders>
            <w:vAlign w:val="center"/>
          </w:tcPr>
          <w:p w14:paraId="410162E1"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(-1.67)</w:t>
            </w:r>
          </w:p>
        </w:tc>
      </w:tr>
      <w:tr w:rsidR="0089544F" w:rsidRPr="00263C50" w14:paraId="170C38B0" w14:textId="77777777" w:rsidTr="005668E0">
        <w:trPr>
          <w:trHeight w:val="312"/>
          <w:jc w:val="center"/>
        </w:trPr>
        <w:tc>
          <w:tcPr>
            <w:tcW w:w="1804" w:type="dxa"/>
            <w:tcBorders>
              <w:left w:val="nil"/>
              <w:bottom w:val="nil"/>
              <w:right w:val="nil"/>
            </w:tcBorders>
            <w:shd w:val="clear" w:color="auto" w:fill="auto"/>
            <w:noWrap/>
            <w:vAlign w:val="center"/>
          </w:tcPr>
          <w:p w14:paraId="1245BB77"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eastAsia="Times New Roman" w:hAnsi="Times New Roman" w:cs="Times New Roman"/>
                <w:i/>
                <w:color w:val="000000"/>
                <w:sz w:val="20"/>
                <w:szCs w:val="20"/>
                <w:lang w:val="en-US" w:eastAsia="zh-TW"/>
              </w:rPr>
              <w:t>FinConf</w:t>
            </w:r>
            <w:proofErr w:type="spellEnd"/>
          </w:p>
        </w:tc>
        <w:tc>
          <w:tcPr>
            <w:tcW w:w="1535" w:type="dxa"/>
            <w:tcBorders>
              <w:left w:val="nil"/>
              <w:bottom w:val="nil"/>
              <w:right w:val="nil"/>
            </w:tcBorders>
            <w:shd w:val="clear" w:color="auto" w:fill="auto"/>
            <w:noWrap/>
            <w:vAlign w:val="center"/>
          </w:tcPr>
          <w:p w14:paraId="18358BA4"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0.51***</w:t>
            </w:r>
          </w:p>
        </w:tc>
        <w:tc>
          <w:tcPr>
            <w:tcW w:w="1509" w:type="dxa"/>
            <w:tcBorders>
              <w:left w:val="nil"/>
              <w:bottom w:val="nil"/>
              <w:right w:val="nil"/>
            </w:tcBorders>
            <w:vAlign w:val="center"/>
          </w:tcPr>
          <w:p w14:paraId="593ACA06"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w:t>
            </w:r>
          </w:p>
        </w:tc>
        <w:tc>
          <w:tcPr>
            <w:tcW w:w="1494" w:type="dxa"/>
            <w:tcBorders>
              <w:left w:val="nil"/>
              <w:bottom w:val="nil"/>
              <w:right w:val="nil"/>
            </w:tcBorders>
            <w:vAlign w:val="center"/>
          </w:tcPr>
          <w:p w14:paraId="3F6531E7"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w:t>
            </w:r>
          </w:p>
        </w:tc>
        <w:tc>
          <w:tcPr>
            <w:tcW w:w="1510" w:type="dxa"/>
            <w:tcBorders>
              <w:left w:val="nil"/>
              <w:bottom w:val="nil"/>
              <w:right w:val="nil"/>
            </w:tcBorders>
            <w:vAlign w:val="center"/>
          </w:tcPr>
          <w:p w14:paraId="28385013"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w:t>
            </w:r>
          </w:p>
        </w:tc>
        <w:tc>
          <w:tcPr>
            <w:tcW w:w="1508" w:type="dxa"/>
            <w:tcBorders>
              <w:left w:val="nil"/>
              <w:bottom w:val="nil"/>
              <w:right w:val="nil"/>
            </w:tcBorders>
            <w:vAlign w:val="center"/>
          </w:tcPr>
          <w:p w14:paraId="1364A4A0"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0.48***</w:t>
            </w:r>
          </w:p>
        </w:tc>
      </w:tr>
      <w:tr w:rsidR="0089544F" w:rsidRPr="00263C50" w14:paraId="18E6B331" w14:textId="77777777" w:rsidTr="005668E0">
        <w:trPr>
          <w:trHeight w:val="312"/>
          <w:jc w:val="center"/>
        </w:trPr>
        <w:tc>
          <w:tcPr>
            <w:tcW w:w="1804" w:type="dxa"/>
            <w:tcBorders>
              <w:left w:val="nil"/>
              <w:right w:val="nil"/>
            </w:tcBorders>
            <w:shd w:val="clear" w:color="auto" w:fill="auto"/>
            <w:noWrap/>
            <w:vAlign w:val="center"/>
          </w:tcPr>
          <w:p w14:paraId="4AE77202"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35" w:type="dxa"/>
            <w:tcBorders>
              <w:left w:val="nil"/>
              <w:right w:val="nil"/>
            </w:tcBorders>
            <w:shd w:val="clear" w:color="auto" w:fill="auto"/>
            <w:noWrap/>
            <w:vAlign w:val="center"/>
          </w:tcPr>
          <w:p w14:paraId="2C0D87CD"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(8.90)</w:t>
            </w:r>
          </w:p>
        </w:tc>
        <w:tc>
          <w:tcPr>
            <w:tcW w:w="1509" w:type="dxa"/>
            <w:tcBorders>
              <w:left w:val="nil"/>
              <w:right w:val="nil"/>
            </w:tcBorders>
            <w:vAlign w:val="center"/>
          </w:tcPr>
          <w:p w14:paraId="1E1F8B7B"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p>
        </w:tc>
        <w:tc>
          <w:tcPr>
            <w:tcW w:w="1494" w:type="dxa"/>
            <w:tcBorders>
              <w:left w:val="nil"/>
              <w:right w:val="nil"/>
            </w:tcBorders>
            <w:vAlign w:val="center"/>
          </w:tcPr>
          <w:p w14:paraId="3B36B684"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p>
        </w:tc>
        <w:tc>
          <w:tcPr>
            <w:tcW w:w="1510" w:type="dxa"/>
            <w:tcBorders>
              <w:left w:val="nil"/>
              <w:right w:val="nil"/>
            </w:tcBorders>
            <w:vAlign w:val="center"/>
          </w:tcPr>
          <w:p w14:paraId="3D04AEB6"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p>
        </w:tc>
        <w:tc>
          <w:tcPr>
            <w:tcW w:w="1508" w:type="dxa"/>
            <w:tcBorders>
              <w:left w:val="nil"/>
              <w:right w:val="nil"/>
            </w:tcBorders>
            <w:vAlign w:val="center"/>
          </w:tcPr>
          <w:p w14:paraId="77AF3DE7" w14:textId="77777777" w:rsidR="0089544F" w:rsidRPr="00263C50" w:rsidRDefault="0089544F" w:rsidP="00186583">
            <w:pPr>
              <w:jc w:val="cente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(8.05)</w:t>
            </w:r>
          </w:p>
        </w:tc>
      </w:tr>
      <w:tr w:rsidR="0089544F" w:rsidRPr="00263C50" w14:paraId="1F9C268F" w14:textId="77777777" w:rsidTr="005668E0">
        <w:trPr>
          <w:trHeight w:val="312"/>
          <w:jc w:val="center"/>
        </w:trPr>
        <w:tc>
          <w:tcPr>
            <w:tcW w:w="1804" w:type="dxa"/>
            <w:tcBorders>
              <w:top w:val="nil"/>
              <w:left w:val="nil"/>
              <w:bottom w:val="nil"/>
              <w:right w:val="nil"/>
            </w:tcBorders>
            <w:shd w:val="clear" w:color="auto" w:fill="auto"/>
            <w:noWrap/>
            <w:vAlign w:val="center"/>
          </w:tcPr>
          <w:p w14:paraId="65752468"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hAnsi="Times New Roman" w:cs="Times New Roman"/>
                <w:i/>
                <w:color w:val="000000"/>
                <w:sz w:val="20"/>
                <w:szCs w:val="20"/>
              </w:rPr>
              <w:t>Gender</w:t>
            </w:r>
          </w:p>
        </w:tc>
        <w:tc>
          <w:tcPr>
            <w:tcW w:w="1535" w:type="dxa"/>
            <w:tcBorders>
              <w:top w:val="nil"/>
              <w:left w:val="nil"/>
              <w:bottom w:val="nil"/>
              <w:right w:val="nil"/>
            </w:tcBorders>
            <w:shd w:val="clear" w:color="auto" w:fill="auto"/>
            <w:noWrap/>
            <w:vAlign w:val="center"/>
          </w:tcPr>
          <w:p w14:paraId="5A02A02B"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0.16</w:t>
            </w:r>
          </w:p>
        </w:tc>
        <w:tc>
          <w:tcPr>
            <w:tcW w:w="1509" w:type="dxa"/>
            <w:tcBorders>
              <w:top w:val="nil"/>
              <w:left w:val="nil"/>
              <w:bottom w:val="nil"/>
              <w:right w:val="nil"/>
            </w:tcBorders>
            <w:vAlign w:val="center"/>
          </w:tcPr>
          <w:p w14:paraId="31C76B2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0.24*</w:t>
            </w:r>
          </w:p>
        </w:tc>
        <w:tc>
          <w:tcPr>
            <w:tcW w:w="1494" w:type="dxa"/>
            <w:tcBorders>
              <w:top w:val="nil"/>
              <w:left w:val="nil"/>
              <w:bottom w:val="nil"/>
              <w:right w:val="nil"/>
            </w:tcBorders>
            <w:vAlign w:val="center"/>
          </w:tcPr>
          <w:p w14:paraId="4A66E00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0.19</w:t>
            </w:r>
          </w:p>
        </w:tc>
        <w:tc>
          <w:tcPr>
            <w:tcW w:w="1510" w:type="dxa"/>
            <w:tcBorders>
              <w:top w:val="nil"/>
              <w:left w:val="nil"/>
              <w:bottom w:val="nil"/>
              <w:right w:val="nil"/>
            </w:tcBorders>
            <w:vAlign w:val="center"/>
          </w:tcPr>
          <w:p w14:paraId="67AE62F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0.19</w:t>
            </w:r>
          </w:p>
        </w:tc>
        <w:tc>
          <w:tcPr>
            <w:tcW w:w="1508" w:type="dxa"/>
            <w:tcBorders>
              <w:top w:val="nil"/>
              <w:left w:val="nil"/>
              <w:bottom w:val="nil"/>
              <w:right w:val="nil"/>
            </w:tcBorders>
            <w:vAlign w:val="center"/>
          </w:tcPr>
          <w:p w14:paraId="2817441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0.11</w:t>
            </w:r>
          </w:p>
        </w:tc>
      </w:tr>
      <w:tr w:rsidR="0089544F" w:rsidRPr="00263C50" w14:paraId="3E6BE207" w14:textId="77777777" w:rsidTr="005668E0">
        <w:trPr>
          <w:trHeight w:val="312"/>
          <w:jc w:val="center"/>
        </w:trPr>
        <w:tc>
          <w:tcPr>
            <w:tcW w:w="1804" w:type="dxa"/>
            <w:tcBorders>
              <w:top w:val="nil"/>
              <w:left w:val="nil"/>
              <w:bottom w:val="nil"/>
              <w:right w:val="nil"/>
            </w:tcBorders>
            <w:shd w:val="clear" w:color="auto" w:fill="auto"/>
            <w:noWrap/>
            <w:vAlign w:val="center"/>
          </w:tcPr>
          <w:p w14:paraId="44800D9F"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35" w:type="dxa"/>
            <w:tcBorders>
              <w:top w:val="nil"/>
              <w:left w:val="nil"/>
              <w:bottom w:val="nil"/>
              <w:right w:val="nil"/>
            </w:tcBorders>
            <w:shd w:val="clear" w:color="auto" w:fill="auto"/>
            <w:noWrap/>
            <w:vAlign w:val="center"/>
          </w:tcPr>
          <w:p w14:paraId="7F976626"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(1.46)</w:t>
            </w:r>
          </w:p>
        </w:tc>
        <w:tc>
          <w:tcPr>
            <w:tcW w:w="1509" w:type="dxa"/>
            <w:tcBorders>
              <w:top w:val="nil"/>
              <w:left w:val="nil"/>
              <w:bottom w:val="nil"/>
              <w:right w:val="nil"/>
            </w:tcBorders>
            <w:vAlign w:val="center"/>
          </w:tcPr>
          <w:p w14:paraId="6E36B46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(1.70)</w:t>
            </w:r>
          </w:p>
        </w:tc>
        <w:tc>
          <w:tcPr>
            <w:tcW w:w="1494" w:type="dxa"/>
            <w:tcBorders>
              <w:top w:val="nil"/>
              <w:left w:val="nil"/>
              <w:bottom w:val="nil"/>
              <w:right w:val="nil"/>
            </w:tcBorders>
            <w:vAlign w:val="center"/>
          </w:tcPr>
          <w:p w14:paraId="43B3527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(1.39)</w:t>
            </w:r>
          </w:p>
        </w:tc>
        <w:tc>
          <w:tcPr>
            <w:tcW w:w="1510" w:type="dxa"/>
            <w:tcBorders>
              <w:top w:val="nil"/>
              <w:left w:val="nil"/>
              <w:bottom w:val="nil"/>
              <w:right w:val="nil"/>
            </w:tcBorders>
            <w:vAlign w:val="center"/>
          </w:tcPr>
          <w:p w14:paraId="516EAB7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(1.40)</w:t>
            </w:r>
          </w:p>
        </w:tc>
        <w:tc>
          <w:tcPr>
            <w:tcW w:w="1508" w:type="dxa"/>
            <w:tcBorders>
              <w:top w:val="nil"/>
              <w:left w:val="nil"/>
              <w:bottom w:val="nil"/>
              <w:right w:val="nil"/>
            </w:tcBorders>
            <w:vAlign w:val="center"/>
          </w:tcPr>
          <w:p w14:paraId="1DB4DC1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(1.00)</w:t>
            </w:r>
          </w:p>
        </w:tc>
      </w:tr>
      <w:tr w:rsidR="0089544F" w:rsidRPr="00263C50" w14:paraId="3703D3D5" w14:textId="77777777" w:rsidTr="005668E0">
        <w:trPr>
          <w:trHeight w:val="312"/>
          <w:jc w:val="center"/>
        </w:trPr>
        <w:tc>
          <w:tcPr>
            <w:tcW w:w="1804" w:type="dxa"/>
            <w:tcBorders>
              <w:top w:val="nil"/>
              <w:left w:val="nil"/>
              <w:bottom w:val="nil"/>
              <w:right w:val="nil"/>
            </w:tcBorders>
            <w:shd w:val="clear" w:color="auto" w:fill="auto"/>
            <w:noWrap/>
            <w:vAlign w:val="center"/>
          </w:tcPr>
          <w:p w14:paraId="4BCAFC8F"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hAnsi="Times New Roman" w:cs="Times New Roman"/>
                <w:i/>
                <w:color w:val="000000"/>
                <w:sz w:val="20"/>
                <w:szCs w:val="20"/>
              </w:rPr>
              <w:t>Age</w:t>
            </w:r>
          </w:p>
        </w:tc>
        <w:tc>
          <w:tcPr>
            <w:tcW w:w="1535" w:type="dxa"/>
            <w:tcBorders>
              <w:top w:val="nil"/>
              <w:left w:val="nil"/>
              <w:bottom w:val="nil"/>
              <w:right w:val="nil"/>
            </w:tcBorders>
            <w:shd w:val="clear" w:color="auto" w:fill="auto"/>
            <w:noWrap/>
            <w:vAlign w:val="center"/>
          </w:tcPr>
          <w:p w14:paraId="4547E7DE"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0.02</w:t>
            </w:r>
          </w:p>
        </w:tc>
        <w:tc>
          <w:tcPr>
            <w:tcW w:w="1509" w:type="dxa"/>
            <w:tcBorders>
              <w:top w:val="nil"/>
              <w:left w:val="nil"/>
              <w:bottom w:val="nil"/>
              <w:right w:val="nil"/>
            </w:tcBorders>
            <w:vAlign w:val="center"/>
          </w:tcPr>
          <w:p w14:paraId="72971B6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0.12</w:t>
            </w:r>
          </w:p>
        </w:tc>
        <w:tc>
          <w:tcPr>
            <w:tcW w:w="1494" w:type="dxa"/>
            <w:tcBorders>
              <w:top w:val="nil"/>
              <w:left w:val="nil"/>
              <w:bottom w:val="nil"/>
              <w:right w:val="nil"/>
            </w:tcBorders>
            <w:vAlign w:val="center"/>
          </w:tcPr>
          <w:p w14:paraId="2A02D32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0.015</w:t>
            </w:r>
          </w:p>
        </w:tc>
        <w:tc>
          <w:tcPr>
            <w:tcW w:w="1510" w:type="dxa"/>
            <w:tcBorders>
              <w:top w:val="nil"/>
              <w:left w:val="nil"/>
              <w:bottom w:val="nil"/>
              <w:right w:val="nil"/>
            </w:tcBorders>
            <w:vAlign w:val="center"/>
          </w:tcPr>
          <w:p w14:paraId="496C24F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0.012</w:t>
            </w:r>
          </w:p>
        </w:tc>
        <w:tc>
          <w:tcPr>
            <w:tcW w:w="1508" w:type="dxa"/>
            <w:tcBorders>
              <w:top w:val="nil"/>
              <w:left w:val="nil"/>
              <w:bottom w:val="nil"/>
              <w:right w:val="nil"/>
            </w:tcBorders>
            <w:vAlign w:val="center"/>
          </w:tcPr>
          <w:p w14:paraId="54D2D35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-0.067</w:t>
            </w:r>
          </w:p>
        </w:tc>
      </w:tr>
      <w:tr w:rsidR="0089544F" w:rsidRPr="00263C50" w14:paraId="00528AC4" w14:textId="77777777" w:rsidTr="005668E0">
        <w:trPr>
          <w:trHeight w:val="312"/>
          <w:jc w:val="center"/>
        </w:trPr>
        <w:tc>
          <w:tcPr>
            <w:tcW w:w="1804" w:type="dxa"/>
            <w:tcBorders>
              <w:top w:val="nil"/>
              <w:left w:val="nil"/>
              <w:bottom w:val="nil"/>
              <w:right w:val="nil"/>
            </w:tcBorders>
            <w:shd w:val="clear" w:color="auto" w:fill="auto"/>
            <w:noWrap/>
            <w:vAlign w:val="center"/>
          </w:tcPr>
          <w:p w14:paraId="28E25092"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35" w:type="dxa"/>
            <w:tcBorders>
              <w:top w:val="nil"/>
              <w:left w:val="nil"/>
              <w:bottom w:val="nil"/>
              <w:right w:val="nil"/>
            </w:tcBorders>
            <w:shd w:val="clear" w:color="auto" w:fill="auto"/>
            <w:noWrap/>
            <w:vAlign w:val="center"/>
          </w:tcPr>
          <w:p w14:paraId="0D39C1BE"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(0.25)</w:t>
            </w:r>
          </w:p>
        </w:tc>
        <w:tc>
          <w:tcPr>
            <w:tcW w:w="1509" w:type="dxa"/>
            <w:tcBorders>
              <w:top w:val="nil"/>
              <w:left w:val="nil"/>
              <w:bottom w:val="nil"/>
              <w:right w:val="nil"/>
            </w:tcBorders>
            <w:vAlign w:val="center"/>
          </w:tcPr>
          <w:p w14:paraId="7BCA3B2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(1.03)</w:t>
            </w:r>
          </w:p>
        </w:tc>
        <w:tc>
          <w:tcPr>
            <w:tcW w:w="1494" w:type="dxa"/>
            <w:tcBorders>
              <w:top w:val="nil"/>
              <w:left w:val="nil"/>
              <w:bottom w:val="nil"/>
              <w:right w:val="nil"/>
            </w:tcBorders>
            <w:vAlign w:val="center"/>
          </w:tcPr>
          <w:p w14:paraId="184D7DE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(0.13)</w:t>
            </w:r>
          </w:p>
        </w:tc>
        <w:tc>
          <w:tcPr>
            <w:tcW w:w="1510" w:type="dxa"/>
            <w:tcBorders>
              <w:top w:val="nil"/>
              <w:left w:val="nil"/>
              <w:bottom w:val="nil"/>
              <w:right w:val="nil"/>
            </w:tcBorders>
            <w:vAlign w:val="center"/>
          </w:tcPr>
          <w:p w14:paraId="6FE2C15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(0.10)</w:t>
            </w:r>
          </w:p>
        </w:tc>
        <w:tc>
          <w:tcPr>
            <w:tcW w:w="1508" w:type="dxa"/>
            <w:tcBorders>
              <w:top w:val="nil"/>
              <w:left w:val="nil"/>
              <w:bottom w:val="nil"/>
              <w:right w:val="nil"/>
            </w:tcBorders>
            <w:vAlign w:val="center"/>
          </w:tcPr>
          <w:p w14:paraId="691FB43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(-0.83)</w:t>
            </w:r>
          </w:p>
        </w:tc>
      </w:tr>
      <w:tr w:rsidR="0089544F" w:rsidRPr="00263C50" w14:paraId="4D820BCA" w14:textId="77777777" w:rsidTr="005668E0">
        <w:trPr>
          <w:trHeight w:val="312"/>
          <w:jc w:val="center"/>
        </w:trPr>
        <w:tc>
          <w:tcPr>
            <w:tcW w:w="1804" w:type="dxa"/>
            <w:tcBorders>
              <w:top w:val="nil"/>
              <w:left w:val="nil"/>
              <w:bottom w:val="nil"/>
              <w:right w:val="nil"/>
            </w:tcBorders>
            <w:shd w:val="clear" w:color="auto" w:fill="auto"/>
            <w:noWrap/>
            <w:vAlign w:val="center"/>
          </w:tcPr>
          <w:p w14:paraId="79A22551"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WrkExp</w:t>
            </w:r>
            <w:proofErr w:type="spellEnd"/>
          </w:p>
        </w:tc>
        <w:tc>
          <w:tcPr>
            <w:tcW w:w="1535" w:type="dxa"/>
            <w:tcBorders>
              <w:top w:val="nil"/>
              <w:left w:val="nil"/>
              <w:bottom w:val="nil"/>
              <w:right w:val="nil"/>
            </w:tcBorders>
            <w:shd w:val="clear" w:color="auto" w:fill="auto"/>
            <w:noWrap/>
            <w:vAlign w:val="center"/>
          </w:tcPr>
          <w:p w14:paraId="5C7E8365"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0.099</w:t>
            </w:r>
          </w:p>
        </w:tc>
        <w:tc>
          <w:tcPr>
            <w:tcW w:w="1509" w:type="dxa"/>
            <w:tcBorders>
              <w:top w:val="nil"/>
              <w:left w:val="nil"/>
              <w:bottom w:val="nil"/>
              <w:right w:val="nil"/>
            </w:tcBorders>
            <w:vAlign w:val="center"/>
          </w:tcPr>
          <w:p w14:paraId="7C83A25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0.052</w:t>
            </w:r>
          </w:p>
        </w:tc>
        <w:tc>
          <w:tcPr>
            <w:tcW w:w="1494" w:type="dxa"/>
            <w:tcBorders>
              <w:top w:val="nil"/>
              <w:left w:val="nil"/>
              <w:bottom w:val="nil"/>
              <w:right w:val="nil"/>
            </w:tcBorders>
            <w:vAlign w:val="center"/>
          </w:tcPr>
          <w:p w14:paraId="60F8C07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w:t>
            </w:r>
          </w:p>
        </w:tc>
        <w:tc>
          <w:tcPr>
            <w:tcW w:w="1510" w:type="dxa"/>
            <w:tcBorders>
              <w:top w:val="nil"/>
              <w:left w:val="nil"/>
              <w:bottom w:val="nil"/>
              <w:right w:val="nil"/>
            </w:tcBorders>
            <w:vAlign w:val="center"/>
          </w:tcPr>
          <w:p w14:paraId="41FCB10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0.092</w:t>
            </w:r>
          </w:p>
        </w:tc>
        <w:tc>
          <w:tcPr>
            <w:tcW w:w="1508" w:type="dxa"/>
            <w:tcBorders>
              <w:top w:val="nil"/>
              <w:left w:val="nil"/>
              <w:bottom w:val="nil"/>
              <w:right w:val="nil"/>
            </w:tcBorders>
            <w:vAlign w:val="center"/>
          </w:tcPr>
          <w:p w14:paraId="161F656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0.099</w:t>
            </w:r>
          </w:p>
        </w:tc>
      </w:tr>
      <w:tr w:rsidR="0089544F" w:rsidRPr="00263C50" w14:paraId="27C0C33C" w14:textId="77777777" w:rsidTr="005668E0">
        <w:trPr>
          <w:trHeight w:val="312"/>
          <w:jc w:val="center"/>
        </w:trPr>
        <w:tc>
          <w:tcPr>
            <w:tcW w:w="1804" w:type="dxa"/>
            <w:tcBorders>
              <w:top w:val="nil"/>
              <w:left w:val="nil"/>
              <w:bottom w:val="nil"/>
              <w:right w:val="nil"/>
            </w:tcBorders>
            <w:shd w:val="clear" w:color="auto" w:fill="auto"/>
            <w:noWrap/>
            <w:vAlign w:val="center"/>
          </w:tcPr>
          <w:p w14:paraId="110B2964"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35" w:type="dxa"/>
            <w:tcBorders>
              <w:top w:val="nil"/>
              <w:left w:val="nil"/>
              <w:bottom w:val="nil"/>
              <w:right w:val="nil"/>
            </w:tcBorders>
            <w:shd w:val="clear" w:color="auto" w:fill="auto"/>
            <w:noWrap/>
            <w:vAlign w:val="center"/>
          </w:tcPr>
          <w:p w14:paraId="743F8F1B"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(0.66)</w:t>
            </w:r>
          </w:p>
        </w:tc>
        <w:tc>
          <w:tcPr>
            <w:tcW w:w="1509" w:type="dxa"/>
            <w:tcBorders>
              <w:top w:val="nil"/>
              <w:left w:val="nil"/>
              <w:bottom w:val="nil"/>
              <w:right w:val="nil"/>
            </w:tcBorders>
            <w:vAlign w:val="center"/>
          </w:tcPr>
          <w:p w14:paraId="4561FE5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(0.27)</w:t>
            </w:r>
          </w:p>
        </w:tc>
        <w:tc>
          <w:tcPr>
            <w:tcW w:w="1494" w:type="dxa"/>
            <w:tcBorders>
              <w:top w:val="nil"/>
              <w:left w:val="nil"/>
              <w:bottom w:val="nil"/>
              <w:right w:val="nil"/>
            </w:tcBorders>
            <w:vAlign w:val="center"/>
          </w:tcPr>
          <w:p w14:paraId="5B67091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(0.58)</w:t>
            </w:r>
          </w:p>
        </w:tc>
        <w:tc>
          <w:tcPr>
            <w:tcW w:w="1510" w:type="dxa"/>
            <w:tcBorders>
              <w:top w:val="nil"/>
              <w:left w:val="nil"/>
              <w:bottom w:val="nil"/>
              <w:right w:val="nil"/>
            </w:tcBorders>
            <w:vAlign w:val="center"/>
          </w:tcPr>
          <w:p w14:paraId="1AD403F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(0.50)</w:t>
            </w:r>
          </w:p>
        </w:tc>
        <w:tc>
          <w:tcPr>
            <w:tcW w:w="1508" w:type="dxa"/>
            <w:tcBorders>
              <w:top w:val="nil"/>
              <w:left w:val="nil"/>
              <w:bottom w:val="nil"/>
              <w:right w:val="nil"/>
            </w:tcBorders>
            <w:vAlign w:val="center"/>
          </w:tcPr>
          <w:p w14:paraId="52A8909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(0.67)</w:t>
            </w:r>
          </w:p>
        </w:tc>
      </w:tr>
      <w:tr w:rsidR="0089544F" w:rsidRPr="00263C50" w14:paraId="39572DD0" w14:textId="77777777" w:rsidTr="005668E0">
        <w:trPr>
          <w:trHeight w:val="312"/>
          <w:jc w:val="center"/>
        </w:trPr>
        <w:tc>
          <w:tcPr>
            <w:tcW w:w="1804" w:type="dxa"/>
            <w:tcBorders>
              <w:top w:val="nil"/>
              <w:left w:val="nil"/>
              <w:bottom w:val="nil"/>
              <w:right w:val="nil"/>
            </w:tcBorders>
            <w:shd w:val="clear" w:color="auto" w:fill="auto"/>
            <w:noWrap/>
            <w:vAlign w:val="center"/>
          </w:tcPr>
          <w:p w14:paraId="290E935D"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PaperFile</w:t>
            </w:r>
            <w:proofErr w:type="spellEnd"/>
          </w:p>
        </w:tc>
        <w:tc>
          <w:tcPr>
            <w:tcW w:w="1535" w:type="dxa"/>
            <w:tcBorders>
              <w:top w:val="nil"/>
              <w:left w:val="nil"/>
              <w:bottom w:val="nil"/>
              <w:right w:val="nil"/>
            </w:tcBorders>
            <w:shd w:val="clear" w:color="auto" w:fill="auto"/>
            <w:noWrap/>
            <w:vAlign w:val="center"/>
          </w:tcPr>
          <w:p w14:paraId="2F3823F6"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0.51***</w:t>
            </w:r>
          </w:p>
        </w:tc>
        <w:tc>
          <w:tcPr>
            <w:tcW w:w="1509" w:type="dxa"/>
            <w:tcBorders>
              <w:top w:val="nil"/>
              <w:left w:val="nil"/>
              <w:bottom w:val="nil"/>
              <w:right w:val="nil"/>
            </w:tcBorders>
            <w:vAlign w:val="center"/>
          </w:tcPr>
          <w:p w14:paraId="17C871A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0.55**</w:t>
            </w:r>
          </w:p>
        </w:tc>
        <w:tc>
          <w:tcPr>
            <w:tcW w:w="1494" w:type="dxa"/>
            <w:tcBorders>
              <w:top w:val="nil"/>
              <w:left w:val="nil"/>
              <w:bottom w:val="nil"/>
              <w:right w:val="nil"/>
            </w:tcBorders>
            <w:vAlign w:val="center"/>
          </w:tcPr>
          <w:p w14:paraId="7FBCF2F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0.68***</w:t>
            </w:r>
          </w:p>
        </w:tc>
        <w:tc>
          <w:tcPr>
            <w:tcW w:w="1510" w:type="dxa"/>
            <w:tcBorders>
              <w:top w:val="nil"/>
              <w:left w:val="nil"/>
              <w:bottom w:val="nil"/>
              <w:right w:val="nil"/>
            </w:tcBorders>
            <w:vAlign w:val="center"/>
          </w:tcPr>
          <w:p w14:paraId="0EC23C7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0.67**</w:t>
            </w:r>
          </w:p>
        </w:tc>
        <w:tc>
          <w:tcPr>
            <w:tcW w:w="1508" w:type="dxa"/>
            <w:tcBorders>
              <w:top w:val="nil"/>
              <w:left w:val="nil"/>
              <w:bottom w:val="nil"/>
              <w:right w:val="nil"/>
            </w:tcBorders>
            <w:vAlign w:val="center"/>
          </w:tcPr>
          <w:p w14:paraId="4C96340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0.58***</w:t>
            </w:r>
          </w:p>
        </w:tc>
      </w:tr>
      <w:tr w:rsidR="0089544F" w:rsidRPr="00263C50" w14:paraId="5310B29B" w14:textId="77777777" w:rsidTr="005668E0">
        <w:trPr>
          <w:trHeight w:val="312"/>
          <w:jc w:val="center"/>
        </w:trPr>
        <w:tc>
          <w:tcPr>
            <w:tcW w:w="1804" w:type="dxa"/>
            <w:tcBorders>
              <w:top w:val="nil"/>
              <w:left w:val="nil"/>
              <w:bottom w:val="nil"/>
              <w:right w:val="nil"/>
            </w:tcBorders>
            <w:shd w:val="clear" w:color="auto" w:fill="auto"/>
            <w:noWrap/>
            <w:vAlign w:val="center"/>
          </w:tcPr>
          <w:p w14:paraId="608557A8"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35" w:type="dxa"/>
            <w:tcBorders>
              <w:top w:val="nil"/>
              <w:left w:val="nil"/>
              <w:bottom w:val="nil"/>
              <w:right w:val="nil"/>
            </w:tcBorders>
            <w:shd w:val="clear" w:color="auto" w:fill="auto"/>
            <w:noWrap/>
            <w:vAlign w:val="center"/>
          </w:tcPr>
          <w:p w14:paraId="7680B2BA"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(3.49)</w:t>
            </w:r>
          </w:p>
        </w:tc>
        <w:tc>
          <w:tcPr>
            <w:tcW w:w="1509" w:type="dxa"/>
            <w:tcBorders>
              <w:top w:val="nil"/>
              <w:left w:val="nil"/>
              <w:bottom w:val="nil"/>
              <w:right w:val="nil"/>
            </w:tcBorders>
            <w:vAlign w:val="center"/>
          </w:tcPr>
          <w:p w14:paraId="42557C9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(1.97)</w:t>
            </w:r>
          </w:p>
        </w:tc>
        <w:tc>
          <w:tcPr>
            <w:tcW w:w="1494" w:type="dxa"/>
            <w:tcBorders>
              <w:top w:val="nil"/>
              <w:left w:val="nil"/>
              <w:bottom w:val="nil"/>
              <w:right w:val="nil"/>
            </w:tcBorders>
            <w:vAlign w:val="center"/>
          </w:tcPr>
          <w:p w14:paraId="6499597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(2.59)</w:t>
            </w:r>
          </w:p>
        </w:tc>
        <w:tc>
          <w:tcPr>
            <w:tcW w:w="1510" w:type="dxa"/>
            <w:tcBorders>
              <w:top w:val="nil"/>
              <w:left w:val="nil"/>
              <w:bottom w:val="nil"/>
              <w:right w:val="nil"/>
            </w:tcBorders>
            <w:vAlign w:val="center"/>
          </w:tcPr>
          <w:p w14:paraId="6A08FA7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(2.55)</w:t>
            </w:r>
          </w:p>
        </w:tc>
        <w:tc>
          <w:tcPr>
            <w:tcW w:w="1508" w:type="dxa"/>
            <w:tcBorders>
              <w:top w:val="nil"/>
              <w:left w:val="nil"/>
              <w:bottom w:val="nil"/>
              <w:right w:val="nil"/>
            </w:tcBorders>
            <w:vAlign w:val="center"/>
          </w:tcPr>
          <w:p w14:paraId="757CE2A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(4.00)</w:t>
            </w:r>
          </w:p>
        </w:tc>
      </w:tr>
      <w:tr w:rsidR="0089544F" w:rsidRPr="00263C50" w14:paraId="15008023" w14:textId="77777777" w:rsidTr="005668E0">
        <w:trPr>
          <w:trHeight w:val="312"/>
          <w:jc w:val="center"/>
        </w:trPr>
        <w:tc>
          <w:tcPr>
            <w:tcW w:w="1804" w:type="dxa"/>
            <w:tcBorders>
              <w:top w:val="nil"/>
              <w:left w:val="nil"/>
              <w:bottom w:val="nil"/>
              <w:right w:val="nil"/>
            </w:tcBorders>
            <w:shd w:val="clear" w:color="auto" w:fill="auto"/>
            <w:noWrap/>
            <w:vAlign w:val="center"/>
          </w:tcPr>
          <w:p w14:paraId="42A0C125"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SoftwareFile</w:t>
            </w:r>
            <w:proofErr w:type="spellEnd"/>
          </w:p>
        </w:tc>
        <w:tc>
          <w:tcPr>
            <w:tcW w:w="1535" w:type="dxa"/>
            <w:tcBorders>
              <w:top w:val="nil"/>
              <w:left w:val="nil"/>
              <w:bottom w:val="nil"/>
              <w:right w:val="nil"/>
            </w:tcBorders>
            <w:shd w:val="clear" w:color="auto" w:fill="auto"/>
            <w:noWrap/>
            <w:vAlign w:val="center"/>
          </w:tcPr>
          <w:p w14:paraId="2C1E844E"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0.24*</w:t>
            </w:r>
          </w:p>
        </w:tc>
        <w:tc>
          <w:tcPr>
            <w:tcW w:w="1509" w:type="dxa"/>
            <w:tcBorders>
              <w:top w:val="nil"/>
              <w:left w:val="nil"/>
              <w:bottom w:val="nil"/>
              <w:right w:val="nil"/>
            </w:tcBorders>
            <w:vAlign w:val="center"/>
          </w:tcPr>
          <w:p w14:paraId="29C6725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0.61***</w:t>
            </w:r>
          </w:p>
        </w:tc>
        <w:tc>
          <w:tcPr>
            <w:tcW w:w="1494" w:type="dxa"/>
            <w:tcBorders>
              <w:top w:val="nil"/>
              <w:left w:val="nil"/>
              <w:bottom w:val="nil"/>
              <w:right w:val="nil"/>
            </w:tcBorders>
            <w:vAlign w:val="center"/>
          </w:tcPr>
          <w:p w14:paraId="3D1D2A7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0.66***</w:t>
            </w:r>
          </w:p>
        </w:tc>
        <w:tc>
          <w:tcPr>
            <w:tcW w:w="1510" w:type="dxa"/>
            <w:tcBorders>
              <w:top w:val="nil"/>
              <w:left w:val="nil"/>
              <w:bottom w:val="nil"/>
              <w:right w:val="nil"/>
            </w:tcBorders>
            <w:vAlign w:val="center"/>
          </w:tcPr>
          <w:p w14:paraId="22F27C7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0.66***</w:t>
            </w:r>
          </w:p>
        </w:tc>
        <w:tc>
          <w:tcPr>
            <w:tcW w:w="1508" w:type="dxa"/>
            <w:tcBorders>
              <w:top w:val="nil"/>
              <w:left w:val="nil"/>
              <w:bottom w:val="nil"/>
              <w:right w:val="nil"/>
            </w:tcBorders>
            <w:vAlign w:val="center"/>
          </w:tcPr>
          <w:p w14:paraId="4B9E5A7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0.29**</w:t>
            </w:r>
          </w:p>
        </w:tc>
      </w:tr>
      <w:tr w:rsidR="0089544F" w:rsidRPr="00263C50" w14:paraId="2A11D0E5" w14:textId="77777777" w:rsidTr="005668E0">
        <w:trPr>
          <w:trHeight w:val="312"/>
          <w:jc w:val="center"/>
        </w:trPr>
        <w:tc>
          <w:tcPr>
            <w:tcW w:w="1804" w:type="dxa"/>
            <w:tcBorders>
              <w:top w:val="nil"/>
              <w:left w:val="nil"/>
              <w:bottom w:val="nil"/>
              <w:right w:val="nil"/>
            </w:tcBorders>
            <w:shd w:val="clear" w:color="auto" w:fill="auto"/>
            <w:noWrap/>
            <w:vAlign w:val="center"/>
          </w:tcPr>
          <w:p w14:paraId="4F408572"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35" w:type="dxa"/>
            <w:tcBorders>
              <w:top w:val="nil"/>
              <w:left w:val="nil"/>
              <w:bottom w:val="nil"/>
              <w:right w:val="nil"/>
            </w:tcBorders>
            <w:shd w:val="clear" w:color="auto" w:fill="auto"/>
            <w:noWrap/>
            <w:vAlign w:val="center"/>
          </w:tcPr>
          <w:p w14:paraId="794C523C"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(1.69)</w:t>
            </w:r>
          </w:p>
        </w:tc>
        <w:tc>
          <w:tcPr>
            <w:tcW w:w="1509" w:type="dxa"/>
            <w:tcBorders>
              <w:top w:val="nil"/>
              <w:left w:val="nil"/>
              <w:bottom w:val="nil"/>
              <w:right w:val="nil"/>
            </w:tcBorders>
            <w:vAlign w:val="center"/>
          </w:tcPr>
          <w:p w14:paraId="7FFBB03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(3.58)</w:t>
            </w:r>
          </w:p>
        </w:tc>
        <w:tc>
          <w:tcPr>
            <w:tcW w:w="1494" w:type="dxa"/>
            <w:tcBorders>
              <w:top w:val="nil"/>
              <w:left w:val="nil"/>
              <w:bottom w:val="nil"/>
              <w:right w:val="nil"/>
            </w:tcBorders>
            <w:vAlign w:val="center"/>
          </w:tcPr>
          <w:p w14:paraId="75A542D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(4.49)</w:t>
            </w:r>
          </w:p>
        </w:tc>
        <w:tc>
          <w:tcPr>
            <w:tcW w:w="1510" w:type="dxa"/>
            <w:tcBorders>
              <w:top w:val="nil"/>
              <w:left w:val="nil"/>
              <w:bottom w:val="nil"/>
              <w:right w:val="nil"/>
            </w:tcBorders>
            <w:vAlign w:val="center"/>
          </w:tcPr>
          <w:p w14:paraId="6001355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(4.39)</w:t>
            </w:r>
          </w:p>
        </w:tc>
        <w:tc>
          <w:tcPr>
            <w:tcW w:w="1508" w:type="dxa"/>
            <w:tcBorders>
              <w:top w:val="nil"/>
              <w:left w:val="nil"/>
              <w:bottom w:val="nil"/>
              <w:right w:val="nil"/>
            </w:tcBorders>
            <w:vAlign w:val="center"/>
          </w:tcPr>
          <w:p w14:paraId="2968870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(2.33)</w:t>
            </w:r>
          </w:p>
        </w:tc>
      </w:tr>
      <w:tr w:rsidR="0089544F" w:rsidRPr="00263C50" w14:paraId="0E792E11" w14:textId="77777777" w:rsidTr="005668E0">
        <w:trPr>
          <w:trHeight w:val="312"/>
          <w:jc w:val="center"/>
        </w:trPr>
        <w:tc>
          <w:tcPr>
            <w:tcW w:w="1804" w:type="dxa"/>
            <w:tcBorders>
              <w:top w:val="nil"/>
              <w:left w:val="nil"/>
              <w:bottom w:val="nil"/>
              <w:right w:val="nil"/>
            </w:tcBorders>
            <w:shd w:val="clear" w:color="auto" w:fill="auto"/>
            <w:noWrap/>
            <w:vAlign w:val="center"/>
          </w:tcPr>
          <w:p w14:paraId="0887AC80"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ProfFile</w:t>
            </w:r>
            <w:proofErr w:type="spellEnd"/>
          </w:p>
        </w:tc>
        <w:tc>
          <w:tcPr>
            <w:tcW w:w="1535" w:type="dxa"/>
            <w:tcBorders>
              <w:top w:val="nil"/>
              <w:left w:val="nil"/>
              <w:bottom w:val="nil"/>
              <w:right w:val="nil"/>
            </w:tcBorders>
            <w:shd w:val="clear" w:color="auto" w:fill="auto"/>
            <w:noWrap/>
            <w:vAlign w:val="center"/>
          </w:tcPr>
          <w:p w14:paraId="57F14CAB"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0.15</w:t>
            </w:r>
          </w:p>
        </w:tc>
        <w:tc>
          <w:tcPr>
            <w:tcW w:w="1509" w:type="dxa"/>
            <w:tcBorders>
              <w:top w:val="nil"/>
              <w:left w:val="nil"/>
              <w:bottom w:val="nil"/>
              <w:right w:val="nil"/>
            </w:tcBorders>
            <w:vAlign w:val="center"/>
          </w:tcPr>
          <w:p w14:paraId="5F170F5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0.29</w:t>
            </w:r>
          </w:p>
        </w:tc>
        <w:tc>
          <w:tcPr>
            <w:tcW w:w="1494" w:type="dxa"/>
            <w:tcBorders>
              <w:top w:val="nil"/>
              <w:left w:val="nil"/>
              <w:bottom w:val="nil"/>
              <w:right w:val="nil"/>
            </w:tcBorders>
            <w:vAlign w:val="center"/>
          </w:tcPr>
          <w:p w14:paraId="12B55B6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0.26</w:t>
            </w:r>
          </w:p>
        </w:tc>
        <w:tc>
          <w:tcPr>
            <w:tcW w:w="1510" w:type="dxa"/>
            <w:tcBorders>
              <w:top w:val="nil"/>
              <w:left w:val="nil"/>
              <w:bottom w:val="nil"/>
              <w:right w:val="nil"/>
            </w:tcBorders>
            <w:vAlign w:val="center"/>
          </w:tcPr>
          <w:p w14:paraId="528102A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0.26</w:t>
            </w:r>
          </w:p>
        </w:tc>
        <w:tc>
          <w:tcPr>
            <w:tcW w:w="1508" w:type="dxa"/>
            <w:tcBorders>
              <w:top w:val="nil"/>
              <w:left w:val="nil"/>
              <w:bottom w:val="nil"/>
              <w:right w:val="nil"/>
            </w:tcBorders>
            <w:vAlign w:val="center"/>
          </w:tcPr>
          <w:p w14:paraId="3A4F479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0.13</w:t>
            </w:r>
          </w:p>
        </w:tc>
      </w:tr>
      <w:tr w:rsidR="0089544F" w:rsidRPr="00263C50" w14:paraId="5FF4EDFC" w14:textId="77777777" w:rsidTr="005668E0">
        <w:trPr>
          <w:trHeight w:val="312"/>
          <w:jc w:val="center"/>
        </w:trPr>
        <w:tc>
          <w:tcPr>
            <w:tcW w:w="1804" w:type="dxa"/>
            <w:tcBorders>
              <w:top w:val="nil"/>
              <w:left w:val="nil"/>
              <w:bottom w:val="nil"/>
              <w:right w:val="nil"/>
            </w:tcBorders>
            <w:shd w:val="clear" w:color="auto" w:fill="auto"/>
            <w:noWrap/>
            <w:vAlign w:val="center"/>
          </w:tcPr>
          <w:p w14:paraId="59E8F1FB"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35" w:type="dxa"/>
            <w:tcBorders>
              <w:top w:val="nil"/>
              <w:left w:val="nil"/>
              <w:bottom w:val="nil"/>
              <w:right w:val="nil"/>
            </w:tcBorders>
            <w:shd w:val="clear" w:color="auto" w:fill="auto"/>
            <w:noWrap/>
            <w:vAlign w:val="center"/>
          </w:tcPr>
          <w:p w14:paraId="5897FFAD"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(1.00)</w:t>
            </w:r>
          </w:p>
        </w:tc>
        <w:tc>
          <w:tcPr>
            <w:tcW w:w="1509" w:type="dxa"/>
            <w:tcBorders>
              <w:top w:val="nil"/>
              <w:left w:val="nil"/>
              <w:bottom w:val="nil"/>
              <w:right w:val="nil"/>
            </w:tcBorders>
            <w:vAlign w:val="center"/>
          </w:tcPr>
          <w:p w14:paraId="5A38735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(1.38)</w:t>
            </w:r>
          </w:p>
        </w:tc>
        <w:tc>
          <w:tcPr>
            <w:tcW w:w="1494" w:type="dxa"/>
            <w:tcBorders>
              <w:top w:val="nil"/>
              <w:left w:val="nil"/>
              <w:bottom w:val="nil"/>
              <w:right w:val="nil"/>
            </w:tcBorders>
            <w:vAlign w:val="center"/>
          </w:tcPr>
          <w:p w14:paraId="42AE25E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(1.39)</w:t>
            </w:r>
          </w:p>
        </w:tc>
        <w:tc>
          <w:tcPr>
            <w:tcW w:w="1510" w:type="dxa"/>
            <w:tcBorders>
              <w:top w:val="nil"/>
              <w:left w:val="nil"/>
              <w:bottom w:val="nil"/>
              <w:right w:val="nil"/>
            </w:tcBorders>
            <w:vAlign w:val="center"/>
          </w:tcPr>
          <w:p w14:paraId="2DF1D3F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(1.38)</w:t>
            </w:r>
          </w:p>
        </w:tc>
        <w:tc>
          <w:tcPr>
            <w:tcW w:w="1508" w:type="dxa"/>
            <w:tcBorders>
              <w:top w:val="nil"/>
              <w:left w:val="nil"/>
              <w:bottom w:val="nil"/>
              <w:right w:val="nil"/>
            </w:tcBorders>
            <w:vAlign w:val="center"/>
          </w:tcPr>
          <w:p w14:paraId="315D363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(0.92)</w:t>
            </w:r>
          </w:p>
        </w:tc>
      </w:tr>
      <w:tr w:rsidR="0089544F" w:rsidRPr="00263C50" w14:paraId="1E31B3EC" w14:textId="77777777" w:rsidTr="005668E0">
        <w:trPr>
          <w:trHeight w:val="312"/>
          <w:jc w:val="center"/>
        </w:trPr>
        <w:tc>
          <w:tcPr>
            <w:tcW w:w="1804" w:type="dxa"/>
            <w:tcBorders>
              <w:top w:val="nil"/>
              <w:left w:val="nil"/>
              <w:bottom w:val="nil"/>
              <w:right w:val="nil"/>
            </w:tcBorders>
            <w:shd w:val="clear" w:color="auto" w:fill="auto"/>
            <w:noWrap/>
            <w:vAlign w:val="center"/>
          </w:tcPr>
          <w:p w14:paraId="525AC3DF"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ParentFile</w:t>
            </w:r>
            <w:proofErr w:type="spellEnd"/>
          </w:p>
        </w:tc>
        <w:tc>
          <w:tcPr>
            <w:tcW w:w="1535" w:type="dxa"/>
            <w:tcBorders>
              <w:top w:val="nil"/>
              <w:left w:val="nil"/>
              <w:bottom w:val="nil"/>
              <w:right w:val="nil"/>
            </w:tcBorders>
            <w:shd w:val="clear" w:color="auto" w:fill="auto"/>
            <w:noWrap/>
            <w:vAlign w:val="center"/>
          </w:tcPr>
          <w:p w14:paraId="7F192E5B"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0.036</w:t>
            </w:r>
          </w:p>
        </w:tc>
        <w:tc>
          <w:tcPr>
            <w:tcW w:w="1509" w:type="dxa"/>
            <w:tcBorders>
              <w:top w:val="nil"/>
              <w:left w:val="nil"/>
              <w:bottom w:val="nil"/>
              <w:right w:val="nil"/>
            </w:tcBorders>
            <w:vAlign w:val="center"/>
          </w:tcPr>
          <w:p w14:paraId="04144BE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0.16</w:t>
            </w:r>
          </w:p>
        </w:tc>
        <w:tc>
          <w:tcPr>
            <w:tcW w:w="1494" w:type="dxa"/>
            <w:tcBorders>
              <w:top w:val="nil"/>
              <w:left w:val="nil"/>
              <w:bottom w:val="nil"/>
              <w:right w:val="nil"/>
            </w:tcBorders>
            <w:vAlign w:val="center"/>
          </w:tcPr>
          <w:p w14:paraId="19B1881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0.15</w:t>
            </w:r>
          </w:p>
        </w:tc>
        <w:tc>
          <w:tcPr>
            <w:tcW w:w="1510" w:type="dxa"/>
            <w:tcBorders>
              <w:top w:val="nil"/>
              <w:left w:val="nil"/>
              <w:bottom w:val="nil"/>
              <w:right w:val="nil"/>
            </w:tcBorders>
            <w:vAlign w:val="center"/>
          </w:tcPr>
          <w:p w14:paraId="4ABF58D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0.16</w:t>
            </w:r>
          </w:p>
        </w:tc>
        <w:tc>
          <w:tcPr>
            <w:tcW w:w="1508" w:type="dxa"/>
            <w:tcBorders>
              <w:top w:val="nil"/>
              <w:left w:val="nil"/>
              <w:bottom w:val="nil"/>
              <w:right w:val="nil"/>
            </w:tcBorders>
            <w:vAlign w:val="center"/>
          </w:tcPr>
          <w:p w14:paraId="29BEF7B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0.048</w:t>
            </w:r>
          </w:p>
        </w:tc>
      </w:tr>
      <w:tr w:rsidR="0089544F" w:rsidRPr="00263C50" w14:paraId="2B31D191" w14:textId="77777777" w:rsidTr="005668E0">
        <w:trPr>
          <w:trHeight w:val="312"/>
          <w:jc w:val="center"/>
        </w:trPr>
        <w:tc>
          <w:tcPr>
            <w:tcW w:w="1804" w:type="dxa"/>
            <w:tcBorders>
              <w:top w:val="nil"/>
              <w:left w:val="nil"/>
              <w:bottom w:val="nil"/>
              <w:right w:val="nil"/>
            </w:tcBorders>
            <w:shd w:val="clear" w:color="auto" w:fill="auto"/>
            <w:noWrap/>
            <w:vAlign w:val="center"/>
          </w:tcPr>
          <w:p w14:paraId="73D01E0D"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35" w:type="dxa"/>
            <w:tcBorders>
              <w:top w:val="nil"/>
              <w:left w:val="nil"/>
              <w:bottom w:val="nil"/>
              <w:right w:val="nil"/>
            </w:tcBorders>
            <w:shd w:val="clear" w:color="auto" w:fill="auto"/>
            <w:noWrap/>
            <w:vAlign w:val="center"/>
          </w:tcPr>
          <w:p w14:paraId="121DD734"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(0.29)</w:t>
            </w:r>
          </w:p>
        </w:tc>
        <w:tc>
          <w:tcPr>
            <w:tcW w:w="1509" w:type="dxa"/>
            <w:tcBorders>
              <w:top w:val="nil"/>
              <w:left w:val="nil"/>
              <w:bottom w:val="nil"/>
              <w:right w:val="nil"/>
            </w:tcBorders>
            <w:vAlign w:val="center"/>
          </w:tcPr>
          <w:p w14:paraId="1DD5B0B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(1.02)</w:t>
            </w:r>
          </w:p>
        </w:tc>
        <w:tc>
          <w:tcPr>
            <w:tcW w:w="1494" w:type="dxa"/>
            <w:tcBorders>
              <w:top w:val="nil"/>
              <w:left w:val="nil"/>
              <w:bottom w:val="nil"/>
              <w:right w:val="nil"/>
            </w:tcBorders>
            <w:vAlign w:val="center"/>
          </w:tcPr>
          <w:p w14:paraId="29EA547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(1.01)</w:t>
            </w:r>
          </w:p>
        </w:tc>
        <w:tc>
          <w:tcPr>
            <w:tcW w:w="1510" w:type="dxa"/>
            <w:tcBorders>
              <w:top w:val="nil"/>
              <w:left w:val="nil"/>
              <w:bottom w:val="nil"/>
              <w:right w:val="nil"/>
            </w:tcBorders>
            <w:vAlign w:val="center"/>
          </w:tcPr>
          <w:p w14:paraId="1DB76B9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(1.04)</w:t>
            </w:r>
          </w:p>
        </w:tc>
        <w:tc>
          <w:tcPr>
            <w:tcW w:w="1508" w:type="dxa"/>
            <w:tcBorders>
              <w:top w:val="nil"/>
              <w:left w:val="nil"/>
              <w:bottom w:val="nil"/>
              <w:right w:val="nil"/>
            </w:tcBorders>
            <w:vAlign w:val="center"/>
          </w:tcPr>
          <w:p w14:paraId="20A669B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(0.38)</w:t>
            </w:r>
          </w:p>
        </w:tc>
      </w:tr>
      <w:tr w:rsidR="0089544F" w:rsidRPr="00263C50" w14:paraId="03D19CD2" w14:textId="77777777" w:rsidTr="005668E0">
        <w:trPr>
          <w:trHeight w:val="312"/>
          <w:jc w:val="center"/>
        </w:trPr>
        <w:tc>
          <w:tcPr>
            <w:tcW w:w="1804" w:type="dxa"/>
            <w:tcBorders>
              <w:top w:val="nil"/>
              <w:left w:val="nil"/>
              <w:bottom w:val="nil"/>
              <w:right w:val="nil"/>
            </w:tcBorders>
            <w:shd w:val="clear" w:color="auto" w:fill="auto"/>
            <w:noWrap/>
            <w:vAlign w:val="center"/>
          </w:tcPr>
          <w:p w14:paraId="314183D7"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hAnsi="Times New Roman" w:cs="Times New Roman"/>
                <w:i/>
                <w:color w:val="000000"/>
                <w:sz w:val="20"/>
                <w:szCs w:val="20"/>
              </w:rPr>
              <w:t>Family</w:t>
            </w:r>
          </w:p>
        </w:tc>
        <w:tc>
          <w:tcPr>
            <w:tcW w:w="1535" w:type="dxa"/>
            <w:tcBorders>
              <w:top w:val="nil"/>
              <w:left w:val="nil"/>
              <w:bottom w:val="nil"/>
              <w:right w:val="nil"/>
            </w:tcBorders>
            <w:shd w:val="clear" w:color="auto" w:fill="auto"/>
            <w:noWrap/>
            <w:vAlign w:val="center"/>
          </w:tcPr>
          <w:p w14:paraId="396B929E"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-0.018</w:t>
            </w:r>
          </w:p>
        </w:tc>
        <w:tc>
          <w:tcPr>
            <w:tcW w:w="1509" w:type="dxa"/>
            <w:tcBorders>
              <w:top w:val="nil"/>
              <w:left w:val="nil"/>
              <w:bottom w:val="nil"/>
              <w:right w:val="nil"/>
            </w:tcBorders>
            <w:vAlign w:val="center"/>
          </w:tcPr>
          <w:p w14:paraId="6EE4841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0.1</w:t>
            </w:r>
          </w:p>
        </w:tc>
        <w:tc>
          <w:tcPr>
            <w:tcW w:w="1494" w:type="dxa"/>
            <w:tcBorders>
              <w:top w:val="nil"/>
              <w:left w:val="nil"/>
              <w:bottom w:val="nil"/>
              <w:right w:val="nil"/>
            </w:tcBorders>
            <w:vAlign w:val="center"/>
          </w:tcPr>
          <w:p w14:paraId="4FAD997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0.067</w:t>
            </w:r>
          </w:p>
        </w:tc>
        <w:tc>
          <w:tcPr>
            <w:tcW w:w="1510" w:type="dxa"/>
            <w:tcBorders>
              <w:top w:val="nil"/>
              <w:left w:val="nil"/>
              <w:bottom w:val="nil"/>
              <w:right w:val="nil"/>
            </w:tcBorders>
            <w:vAlign w:val="center"/>
          </w:tcPr>
          <w:p w14:paraId="51E53BF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0.07</w:t>
            </w:r>
          </w:p>
        </w:tc>
        <w:tc>
          <w:tcPr>
            <w:tcW w:w="1508" w:type="dxa"/>
            <w:tcBorders>
              <w:top w:val="nil"/>
              <w:left w:val="nil"/>
              <w:bottom w:val="nil"/>
              <w:right w:val="nil"/>
            </w:tcBorders>
            <w:vAlign w:val="center"/>
          </w:tcPr>
          <w:p w14:paraId="623AC62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-0.037</w:t>
            </w:r>
          </w:p>
        </w:tc>
      </w:tr>
      <w:tr w:rsidR="0089544F" w:rsidRPr="00263C50" w14:paraId="2706FE1F" w14:textId="77777777" w:rsidTr="005668E0">
        <w:trPr>
          <w:trHeight w:val="312"/>
          <w:jc w:val="center"/>
        </w:trPr>
        <w:tc>
          <w:tcPr>
            <w:tcW w:w="1804" w:type="dxa"/>
            <w:tcBorders>
              <w:top w:val="nil"/>
              <w:left w:val="nil"/>
              <w:bottom w:val="nil"/>
              <w:right w:val="nil"/>
            </w:tcBorders>
            <w:shd w:val="clear" w:color="auto" w:fill="auto"/>
            <w:noWrap/>
            <w:vAlign w:val="center"/>
          </w:tcPr>
          <w:p w14:paraId="1B79CA0E"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35" w:type="dxa"/>
            <w:tcBorders>
              <w:top w:val="nil"/>
              <w:left w:val="nil"/>
              <w:bottom w:val="nil"/>
              <w:right w:val="nil"/>
            </w:tcBorders>
            <w:shd w:val="clear" w:color="auto" w:fill="auto"/>
            <w:noWrap/>
            <w:vAlign w:val="center"/>
          </w:tcPr>
          <w:p w14:paraId="2A49438B"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(0.12)</w:t>
            </w:r>
          </w:p>
        </w:tc>
        <w:tc>
          <w:tcPr>
            <w:tcW w:w="1509" w:type="dxa"/>
            <w:tcBorders>
              <w:top w:val="nil"/>
              <w:left w:val="nil"/>
              <w:bottom w:val="nil"/>
              <w:right w:val="nil"/>
            </w:tcBorders>
            <w:vAlign w:val="center"/>
          </w:tcPr>
          <w:p w14:paraId="57B0F7C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(0.55)</w:t>
            </w:r>
          </w:p>
        </w:tc>
        <w:tc>
          <w:tcPr>
            <w:tcW w:w="1494" w:type="dxa"/>
            <w:tcBorders>
              <w:top w:val="nil"/>
              <w:left w:val="nil"/>
              <w:bottom w:val="nil"/>
              <w:right w:val="nil"/>
            </w:tcBorders>
            <w:vAlign w:val="center"/>
          </w:tcPr>
          <w:p w14:paraId="3B1E3D5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(0.41)</w:t>
            </w:r>
          </w:p>
        </w:tc>
        <w:tc>
          <w:tcPr>
            <w:tcW w:w="1510" w:type="dxa"/>
            <w:tcBorders>
              <w:top w:val="nil"/>
              <w:left w:val="nil"/>
              <w:bottom w:val="nil"/>
              <w:right w:val="nil"/>
            </w:tcBorders>
            <w:vAlign w:val="center"/>
          </w:tcPr>
          <w:p w14:paraId="12235D3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(0.42)</w:t>
            </w:r>
          </w:p>
        </w:tc>
        <w:tc>
          <w:tcPr>
            <w:tcW w:w="1508" w:type="dxa"/>
            <w:tcBorders>
              <w:top w:val="nil"/>
              <w:left w:val="nil"/>
              <w:bottom w:val="nil"/>
              <w:right w:val="nil"/>
            </w:tcBorders>
            <w:vAlign w:val="center"/>
          </w:tcPr>
          <w:p w14:paraId="71BAD19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(0.27)</w:t>
            </w:r>
          </w:p>
        </w:tc>
      </w:tr>
      <w:tr w:rsidR="0089544F" w:rsidRPr="00263C50" w14:paraId="066E73AC" w14:textId="77777777" w:rsidTr="005668E0">
        <w:trPr>
          <w:trHeight w:val="312"/>
          <w:jc w:val="center"/>
        </w:trPr>
        <w:tc>
          <w:tcPr>
            <w:tcW w:w="1804" w:type="dxa"/>
            <w:tcBorders>
              <w:top w:val="nil"/>
              <w:left w:val="nil"/>
              <w:bottom w:val="nil"/>
              <w:right w:val="nil"/>
            </w:tcBorders>
            <w:shd w:val="clear" w:color="auto" w:fill="auto"/>
            <w:noWrap/>
            <w:vAlign w:val="center"/>
          </w:tcPr>
          <w:p w14:paraId="524FBFB5"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FinExp</w:t>
            </w:r>
            <w:proofErr w:type="spellEnd"/>
          </w:p>
        </w:tc>
        <w:tc>
          <w:tcPr>
            <w:tcW w:w="1535" w:type="dxa"/>
            <w:tcBorders>
              <w:top w:val="nil"/>
              <w:left w:val="nil"/>
              <w:bottom w:val="nil"/>
              <w:right w:val="nil"/>
            </w:tcBorders>
            <w:shd w:val="clear" w:color="auto" w:fill="auto"/>
            <w:noWrap/>
            <w:vAlign w:val="center"/>
          </w:tcPr>
          <w:p w14:paraId="587A516D"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-0.36</w:t>
            </w:r>
          </w:p>
        </w:tc>
        <w:tc>
          <w:tcPr>
            <w:tcW w:w="1509" w:type="dxa"/>
            <w:tcBorders>
              <w:top w:val="nil"/>
              <w:left w:val="nil"/>
              <w:bottom w:val="nil"/>
              <w:right w:val="nil"/>
            </w:tcBorders>
            <w:vAlign w:val="center"/>
          </w:tcPr>
          <w:p w14:paraId="6792B82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-0.24</w:t>
            </w:r>
          </w:p>
        </w:tc>
        <w:tc>
          <w:tcPr>
            <w:tcW w:w="1494" w:type="dxa"/>
            <w:tcBorders>
              <w:top w:val="nil"/>
              <w:left w:val="nil"/>
              <w:bottom w:val="nil"/>
              <w:right w:val="nil"/>
            </w:tcBorders>
            <w:vAlign w:val="center"/>
          </w:tcPr>
          <w:p w14:paraId="02AFD68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-0.37</w:t>
            </w:r>
          </w:p>
        </w:tc>
        <w:tc>
          <w:tcPr>
            <w:tcW w:w="1510" w:type="dxa"/>
            <w:tcBorders>
              <w:top w:val="nil"/>
              <w:left w:val="nil"/>
              <w:bottom w:val="nil"/>
              <w:right w:val="nil"/>
            </w:tcBorders>
            <w:vAlign w:val="center"/>
          </w:tcPr>
          <w:p w14:paraId="2EC51C5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-0.37</w:t>
            </w:r>
          </w:p>
        </w:tc>
        <w:tc>
          <w:tcPr>
            <w:tcW w:w="1508" w:type="dxa"/>
            <w:tcBorders>
              <w:top w:val="nil"/>
              <w:left w:val="nil"/>
              <w:bottom w:val="nil"/>
              <w:right w:val="nil"/>
            </w:tcBorders>
            <w:vAlign w:val="center"/>
          </w:tcPr>
          <w:p w14:paraId="5ADDB4D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-0.48</w:t>
            </w:r>
          </w:p>
        </w:tc>
      </w:tr>
      <w:tr w:rsidR="0089544F" w:rsidRPr="00263C50" w14:paraId="51692678" w14:textId="77777777" w:rsidTr="005668E0">
        <w:trPr>
          <w:trHeight w:val="312"/>
          <w:jc w:val="center"/>
        </w:trPr>
        <w:tc>
          <w:tcPr>
            <w:tcW w:w="1804" w:type="dxa"/>
            <w:tcBorders>
              <w:top w:val="nil"/>
              <w:left w:val="nil"/>
              <w:bottom w:val="nil"/>
              <w:right w:val="nil"/>
            </w:tcBorders>
            <w:shd w:val="clear" w:color="auto" w:fill="auto"/>
            <w:noWrap/>
            <w:vAlign w:val="center"/>
          </w:tcPr>
          <w:p w14:paraId="5658345F"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35" w:type="dxa"/>
            <w:tcBorders>
              <w:top w:val="nil"/>
              <w:left w:val="nil"/>
              <w:bottom w:val="nil"/>
              <w:right w:val="nil"/>
            </w:tcBorders>
            <w:shd w:val="clear" w:color="auto" w:fill="auto"/>
            <w:noWrap/>
            <w:vAlign w:val="center"/>
          </w:tcPr>
          <w:p w14:paraId="10DE04C5"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(0.82)</w:t>
            </w:r>
          </w:p>
        </w:tc>
        <w:tc>
          <w:tcPr>
            <w:tcW w:w="1509" w:type="dxa"/>
            <w:tcBorders>
              <w:top w:val="nil"/>
              <w:left w:val="nil"/>
              <w:bottom w:val="nil"/>
              <w:right w:val="nil"/>
            </w:tcBorders>
            <w:vAlign w:val="center"/>
          </w:tcPr>
          <w:p w14:paraId="3069AE6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(0.54)</w:t>
            </w:r>
          </w:p>
        </w:tc>
        <w:tc>
          <w:tcPr>
            <w:tcW w:w="1494" w:type="dxa"/>
            <w:tcBorders>
              <w:top w:val="nil"/>
              <w:left w:val="nil"/>
              <w:bottom w:val="nil"/>
              <w:right w:val="nil"/>
            </w:tcBorders>
            <w:vAlign w:val="center"/>
          </w:tcPr>
          <w:p w14:paraId="61540E5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(0.78)</w:t>
            </w:r>
          </w:p>
        </w:tc>
        <w:tc>
          <w:tcPr>
            <w:tcW w:w="1510" w:type="dxa"/>
            <w:tcBorders>
              <w:top w:val="nil"/>
              <w:left w:val="nil"/>
              <w:bottom w:val="nil"/>
              <w:right w:val="nil"/>
            </w:tcBorders>
            <w:vAlign w:val="center"/>
          </w:tcPr>
          <w:p w14:paraId="70B6FB8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(0.80)</w:t>
            </w:r>
          </w:p>
        </w:tc>
        <w:tc>
          <w:tcPr>
            <w:tcW w:w="1508" w:type="dxa"/>
            <w:tcBorders>
              <w:top w:val="nil"/>
              <w:left w:val="nil"/>
              <w:bottom w:val="nil"/>
              <w:right w:val="nil"/>
            </w:tcBorders>
            <w:vAlign w:val="center"/>
          </w:tcPr>
          <w:p w14:paraId="36DCD87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(1.03)</w:t>
            </w:r>
          </w:p>
        </w:tc>
      </w:tr>
      <w:tr w:rsidR="0089544F" w:rsidRPr="00263C50" w14:paraId="0D218880" w14:textId="77777777" w:rsidTr="005668E0">
        <w:trPr>
          <w:trHeight w:val="312"/>
          <w:jc w:val="center"/>
        </w:trPr>
        <w:tc>
          <w:tcPr>
            <w:tcW w:w="1804" w:type="dxa"/>
            <w:tcBorders>
              <w:top w:val="nil"/>
              <w:left w:val="nil"/>
              <w:bottom w:val="nil"/>
              <w:right w:val="nil"/>
            </w:tcBorders>
            <w:shd w:val="clear" w:color="auto" w:fill="auto"/>
            <w:noWrap/>
            <w:vAlign w:val="center"/>
          </w:tcPr>
          <w:p w14:paraId="49F5B03F"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hAnsi="Times New Roman" w:cs="Times New Roman"/>
                <w:i/>
                <w:color w:val="000000"/>
                <w:sz w:val="20"/>
                <w:szCs w:val="20"/>
              </w:rPr>
              <w:t>Income</w:t>
            </w:r>
          </w:p>
        </w:tc>
        <w:tc>
          <w:tcPr>
            <w:tcW w:w="1535" w:type="dxa"/>
            <w:tcBorders>
              <w:top w:val="nil"/>
              <w:left w:val="nil"/>
              <w:bottom w:val="nil"/>
              <w:right w:val="nil"/>
            </w:tcBorders>
            <w:shd w:val="clear" w:color="auto" w:fill="auto"/>
            <w:noWrap/>
            <w:vAlign w:val="center"/>
          </w:tcPr>
          <w:p w14:paraId="717734E1"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-0.036</w:t>
            </w:r>
          </w:p>
        </w:tc>
        <w:tc>
          <w:tcPr>
            <w:tcW w:w="1509" w:type="dxa"/>
            <w:tcBorders>
              <w:top w:val="nil"/>
              <w:left w:val="nil"/>
              <w:bottom w:val="nil"/>
              <w:right w:val="nil"/>
            </w:tcBorders>
            <w:vAlign w:val="center"/>
          </w:tcPr>
          <w:p w14:paraId="05348D5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-0.028</w:t>
            </w:r>
          </w:p>
        </w:tc>
        <w:tc>
          <w:tcPr>
            <w:tcW w:w="1494" w:type="dxa"/>
            <w:tcBorders>
              <w:top w:val="nil"/>
              <w:left w:val="nil"/>
              <w:bottom w:val="nil"/>
              <w:right w:val="nil"/>
            </w:tcBorders>
            <w:vAlign w:val="center"/>
          </w:tcPr>
          <w:p w14:paraId="4C1EB77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0.0055</w:t>
            </w:r>
          </w:p>
        </w:tc>
        <w:tc>
          <w:tcPr>
            <w:tcW w:w="1510" w:type="dxa"/>
            <w:tcBorders>
              <w:top w:val="nil"/>
              <w:left w:val="nil"/>
              <w:bottom w:val="nil"/>
              <w:right w:val="nil"/>
            </w:tcBorders>
            <w:vAlign w:val="center"/>
          </w:tcPr>
          <w:p w14:paraId="5170416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-0.000046</w:t>
            </w:r>
          </w:p>
        </w:tc>
        <w:tc>
          <w:tcPr>
            <w:tcW w:w="1508" w:type="dxa"/>
            <w:tcBorders>
              <w:top w:val="nil"/>
              <w:left w:val="nil"/>
              <w:bottom w:val="nil"/>
              <w:right w:val="nil"/>
            </w:tcBorders>
            <w:vAlign w:val="center"/>
          </w:tcPr>
          <w:p w14:paraId="5A8A77C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-0.021</w:t>
            </w:r>
          </w:p>
        </w:tc>
      </w:tr>
      <w:tr w:rsidR="0089544F" w:rsidRPr="00263C50" w14:paraId="14B85F44" w14:textId="77777777" w:rsidTr="005668E0">
        <w:trPr>
          <w:trHeight w:val="312"/>
          <w:jc w:val="center"/>
        </w:trPr>
        <w:tc>
          <w:tcPr>
            <w:tcW w:w="1804" w:type="dxa"/>
            <w:tcBorders>
              <w:top w:val="nil"/>
              <w:left w:val="nil"/>
              <w:bottom w:val="nil"/>
              <w:right w:val="nil"/>
            </w:tcBorders>
            <w:shd w:val="clear" w:color="auto" w:fill="auto"/>
            <w:noWrap/>
            <w:vAlign w:val="center"/>
          </w:tcPr>
          <w:p w14:paraId="5A7E585C"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35" w:type="dxa"/>
            <w:tcBorders>
              <w:top w:val="nil"/>
              <w:left w:val="nil"/>
              <w:bottom w:val="nil"/>
              <w:right w:val="nil"/>
            </w:tcBorders>
            <w:shd w:val="clear" w:color="auto" w:fill="auto"/>
            <w:noWrap/>
            <w:vAlign w:val="center"/>
          </w:tcPr>
          <w:p w14:paraId="3C10B4AA" w14:textId="77777777" w:rsidR="0089544F" w:rsidRPr="00263C50" w:rsidRDefault="0089544F" w:rsidP="00186583">
            <w:pPr>
              <w:jc w:val="center"/>
              <w:rPr>
                <w:rFonts w:ascii="Times New Roman" w:hAnsi="Times New Roman" w:cs="Times New Roman"/>
                <w:sz w:val="20"/>
                <w:szCs w:val="20"/>
                <w:lang w:val="en-US"/>
              </w:rPr>
            </w:pPr>
            <w:r w:rsidRPr="00263C50">
              <w:rPr>
                <w:rFonts w:ascii="Times New Roman" w:eastAsia="Times New Roman" w:hAnsi="Times New Roman" w:cs="Times New Roman"/>
                <w:color w:val="000000"/>
                <w:sz w:val="20"/>
                <w:szCs w:val="20"/>
                <w:lang w:val="en-US" w:eastAsia="zh-TW"/>
              </w:rPr>
              <w:t>(0.75)</w:t>
            </w:r>
          </w:p>
        </w:tc>
        <w:tc>
          <w:tcPr>
            <w:tcW w:w="1509" w:type="dxa"/>
            <w:tcBorders>
              <w:top w:val="nil"/>
              <w:left w:val="nil"/>
              <w:bottom w:val="nil"/>
              <w:right w:val="nil"/>
            </w:tcBorders>
            <w:vAlign w:val="center"/>
          </w:tcPr>
          <w:p w14:paraId="67EF9F2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(0.45)</w:t>
            </w:r>
          </w:p>
        </w:tc>
        <w:tc>
          <w:tcPr>
            <w:tcW w:w="1494" w:type="dxa"/>
            <w:tcBorders>
              <w:top w:val="nil"/>
              <w:left w:val="nil"/>
              <w:bottom w:val="nil"/>
              <w:right w:val="nil"/>
            </w:tcBorders>
            <w:vAlign w:val="center"/>
          </w:tcPr>
          <w:p w14:paraId="6EBA246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(0.09)</w:t>
            </w:r>
          </w:p>
        </w:tc>
        <w:tc>
          <w:tcPr>
            <w:tcW w:w="1510" w:type="dxa"/>
            <w:tcBorders>
              <w:top w:val="nil"/>
              <w:left w:val="nil"/>
              <w:bottom w:val="nil"/>
              <w:right w:val="nil"/>
            </w:tcBorders>
            <w:vAlign w:val="center"/>
          </w:tcPr>
          <w:p w14:paraId="7613D0A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(0.00)</w:t>
            </w:r>
          </w:p>
        </w:tc>
        <w:tc>
          <w:tcPr>
            <w:tcW w:w="1508" w:type="dxa"/>
            <w:tcBorders>
              <w:top w:val="nil"/>
              <w:left w:val="nil"/>
              <w:bottom w:val="nil"/>
              <w:right w:val="nil"/>
            </w:tcBorders>
            <w:vAlign w:val="center"/>
          </w:tcPr>
          <w:p w14:paraId="7138378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(0.43)</w:t>
            </w:r>
          </w:p>
        </w:tc>
      </w:tr>
      <w:tr w:rsidR="0089544F" w:rsidRPr="00263C50" w14:paraId="083F93D8" w14:textId="77777777" w:rsidTr="005668E0">
        <w:trPr>
          <w:trHeight w:val="312"/>
          <w:jc w:val="center"/>
        </w:trPr>
        <w:tc>
          <w:tcPr>
            <w:tcW w:w="1804" w:type="dxa"/>
            <w:tcBorders>
              <w:top w:val="nil"/>
              <w:left w:val="nil"/>
              <w:bottom w:val="nil"/>
              <w:right w:val="nil"/>
            </w:tcBorders>
            <w:shd w:val="clear" w:color="auto" w:fill="auto"/>
            <w:noWrap/>
            <w:vAlign w:val="center"/>
            <w:hideMark/>
          </w:tcPr>
          <w:p w14:paraId="002B5FFD"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i/>
                <w:color w:val="000000"/>
                <w:sz w:val="20"/>
                <w:szCs w:val="20"/>
                <w:lang w:val="en-US" w:eastAsia="zh-TW"/>
              </w:rPr>
              <w:t>Constant</w:t>
            </w:r>
          </w:p>
        </w:tc>
        <w:tc>
          <w:tcPr>
            <w:tcW w:w="1535" w:type="dxa"/>
            <w:tcBorders>
              <w:top w:val="nil"/>
              <w:left w:val="nil"/>
              <w:bottom w:val="nil"/>
              <w:right w:val="nil"/>
            </w:tcBorders>
            <w:shd w:val="clear" w:color="auto" w:fill="auto"/>
            <w:noWrap/>
            <w:vAlign w:val="center"/>
            <w:hideMark/>
          </w:tcPr>
          <w:p w14:paraId="1B0E2DCD"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0.75*</w:t>
            </w:r>
          </w:p>
        </w:tc>
        <w:tc>
          <w:tcPr>
            <w:tcW w:w="1509" w:type="dxa"/>
            <w:tcBorders>
              <w:top w:val="nil"/>
              <w:left w:val="nil"/>
              <w:bottom w:val="nil"/>
              <w:right w:val="nil"/>
            </w:tcBorders>
            <w:vAlign w:val="center"/>
          </w:tcPr>
          <w:p w14:paraId="09FFD07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1.60***</w:t>
            </w:r>
          </w:p>
        </w:tc>
        <w:tc>
          <w:tcPr>
            <w:tcW w:w="1494" w:type="dxa"/>
            <w:tcBorders>
              <w:top w:val="nil"/>
              <w:left w:val="nil"/>
              <w:bottom w:val="nil"/>
              <w:right w:val="nil"/>
            </w:tcBorders>
            <w:vAlign w:val="center"/>
          </w:tcPr>
          <w:p w14:paraId="35EE2A6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1.81***</w:t>
            </w:r>
          </w:p>
        </w:tc>
        <w:tc>
          <w:tcPr>
            <w:tcW w:w="1510" w:type="dxa"/>
            <w:tcBorders>
              <w:top w:val="nil"/>
              <w:left w:val="nil"/>
              <w:bottom w:val="nil"/>
              <w:right w:val="nil"/>
            </w:tcBorders>
            <w:vAlign w:val="center"/>
          </w:tcPr>
          <w:p w14:paraId="0CDE310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1.84***</w:t>
            </w:r>
          </w:p>
        </w:tc>
        <w:tc>
          <w:tcPr>
            <w:tcW w:w="1508" w:type="dxa"/>
            <w:tcBorders>
              <w:top w:val="nil"/>
              <w:left w:val="nil"/>
              <w:bottom w:val="nil"/>
              <w:right w:val="nil"/>
            </w:tcBorders>
            <w:vAlign w:val="center"/>
          </w:tcPr>
          <w:p w14:paraId="430A969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1.04**</w:t>
            </w:r>
          </w:p>
        </w:tc>
      </w:tr>
      <w:tr w:rsidR="0089544F" w:rsidRPr="00263C50" w14:paraId="65C9B966" w14:textId="77777777" w:rsidTr="005668E0">
        <w:trPr>
          <w:trHeight w:val="312"/>
          <w:jc w:val="center"/>
        </w:trPr>
        <w:tc>
          <w:tcPr>
            <w:tcW w:w="1804" w:type="dxa"/>
            <w:tcBorders>
              <w:top w:val="nil"/>
              <w:left w:val="nil"/>
              <w:bottom w:val="nil"/>
              <w:right w:val="nil"/>
            </w:tcBorders>
            <w:shd w:val="clear" w:color="auto" w:fill="auto"/>
            <w:noWrap/>
            <w:vAlign w:val="center"/>
            <w:hideMark/>
          </w:tcPr>
          <w:p w14:paraId="0A17846A" w14:textId="77777777" w:rsidR="0089544F" w:rsidRPr="00263C50" w:rsidRDefault="0089544F" w:rsidP="00186583">
            <w:pPr>
              <w:rPr>
                <w:rFonts w:ascii="Times New Roman" w:eastAsia="Times New Roman" w:hAnsi="Times New Roman" w:cs="Times New Roman"/>
                <w:color w:val="000000"/>
                <w:sz w:val="20"/>
                <w:szCs w:val="20"/>
                <w:lang w:val="en-US" w:eastAsia="zh-TW"/>
              </w:rPr>
            </w:pPr>
          </w:p>
        </w:tc>
        <w:tc>
          <w:tcPr>
            <w:tcW w:w="1535" w:type="dxa"/>
            <w:tcBorders>
              <w:top w:val="nil"/>
              <w:left w:val="nil"/>
              <w:bottom w:val="nil"/>
              <w:right w:val="nil"/>
            </w:tcBorders>
            <w:shd w:val="clear" w:color="auto" w:fill="auto"/>
            <w:noWrap/>
            <w:vAlign w:val="center"/>
            <w:hideMark/>
          </w:tcPr>
          <w:p w14:paraId="433F79CD"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(1.70)</w:t>
            </w:r>
          </w:p>
        </w:tc>
        <w:tc>
          <w:tcPr>
            <w:tcW w:w="1509" w:type="dxa"/>
            <w:tcBorders>
              <w:top w:val="nil"/>
              <w:left w:val="nil"/>
              <w:bottom w:val="nil"/>
              <w:right w:val="nil"/>
            </w:tcBorders>
            <w:vAlign w:val="center"/>
          </w:tcPr>
          <w:p w14:paraId="7530762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(3.23)</w:t>
            </w:r>
          </w:p>
        </w:tc>
        <w:tc>
          <w:tcPr>
            <w:tcW w:w="1494" w:type="dxa"/>
            <w:tcBorders>
              <w:top w:val="nil"/>
              <w:left w:val="nil"/>
              <w:bottom w:val="nil"/>
              <w:right w:val="nil"/>
            </w:tcBorders>
            <w:vAlign w:val="center"/>
          </w:tcPr>
          <w:p w14:paraId="5F31975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(3.80)</w:t>
            </w:r>
          </w:p>
        </w:tc>
        <w:tc>
          <w:tcPr>
            <w:tcW w:w="1510" w:type="dxa"/>
            <w:tcBorders>
              <w:top w:val="nil"/>
              <w:left w:val="nil"/>
              <w:bottom w:val="nil"/>
              <w:right w:val="nil"/>
            </w:tcBorders>
            <w:vAlign w:val="center"/>
          </w:tcPr>
          <w:p w14:paraId="0C8821C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(3.57)</w:t>
            </w:r>
          </w:p>
        </w:tc>
        <w:tc>
          <w:tcPr>
            <w:tcW w:w="1508" w:type="dxa"/>
            <w:tcBorders>
              <w:top w:val="nil"/>
              <w:left w:val="nil"/>
              <w:bottom w:val="nil"/>
              <w:right w:val="nil"/>
            </w:tcBorders>
            <w:vAlign w:val="center"/>
          </w:tcPr>
          <w:p w14:paraId="5D85819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eastAsia="Times New Roman" w:hAnsi="Times New Roman" w:cs="Times New Roman"/>
                <w:color w:val="000000"/>
                <w:sz w:val="20"/>
                <w:szCs w:val="20"/>
                <w:lang w:val="en-US" w:eastAsia="zh-TW"/>
              </w:rPr>
              <w:t>(2.14)</w:t>
            </w:r>
          </w:p>
        </w:tc>
      </w:tr>
      <w:tr w:rsidR="0089544F" w:rsidRPr="00263C50" w14:paraId="76A57850" w14:textId="77777777" w:rsidTr="005668E0">
        <w:trPr>
          <w:trHeight w:val="312"/>
          <w:jc w:val="center"/>
        </w:trPr>
        <w:tc>
          <w:tcPr>
            <w:tcW w:w="1804" w:type="dxa"/>
            <w:tcBorders>
              <w:top w:val="nil"/>
              <w:left w:val="nil"/>
              <w:bottom w:val="single" w:sz="4" w:space="0" w:color="auto"/>
              <w:right w:val="nil"/>
            </w:tcBorders>
            <w:shd w:val="clear" w:color="auto" w:fill="auto"/>
            <w:noWrap/>
            <w:vAlign w:val="center"/>
            <w:hideMark/>
          </w:tcPr>
          <w:p w14:paraId="544A7785" w14:textId="77777777" w:rsidR="0089544F" w:rsidRPr="00263C50" w:rsidRDefault="0089544F" w:rsidP="00186583">
            <w:pP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No. of Obs.</w:t>
            </w:r>
          </w:p>
        </w:tc>
        <w:tc>
          <w:tcPr>
            <w:tcW w:w="1535" w:type="dxa"/>
            <w:tcBorders>
              <w:top w:val="nil"/>
              <w:left w:val="nil"/>
              <w:bottom w:val="single" w:sz="4" w:space="0" w:color="auto"/>
              <w:right w:val="nil"/>
            </w:tcBorders>
            <w:shd w:val="clear" w:color="auto" w:fill="auto"/>
            <w:noWrap/>
            <w:vAlign w:val="center"/>
            <w:hideMark/>
          </w:tcPr>
          <w:p w14:paraId="47D802EE"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145</w:t>
            </w:r>
          </w:p>
        </w:tc>
        <w:tc>
          <w:tcPr>
            <w:tcW w:w="1509" w:type="dxa"/>
            <w:tcBorders>
              <w:top w:val="nil"/>
              <w:left w:val="nil"/>
              <w:bottom w:val="single" w:sz="4" w:space="0" w:color="auto"/>
              <w:right w:val="nil"/>
            </w:tcBorders>
            <w:vAlign w:val="center"/>
          </w:tcPr>
          <w:p w14:paraId="44F54797" w14:textId="77777777" w:rsidR="0089544F" w:rsidRPr="00263C50" w:rsidRDefault="0089544F" w:rsidP="00186583">
            <w:pPr>
              <w:jc w:val="center"/>
              <w:rPr>
                <w:rFonts w:ascii="Times New Roman" w:eastAsia="Times New Roman" w:hAnsi="Times New Roman" w:cs="Times New Roman"/>
                <w:color w:val="000000" w:themeColor="text1"/>
                <w:sz w:val="20"/>
                <w:szCs w:val="20"/>
                <w:lang w:val="en-US" w:eastAsia="zh-TW"/>
              </w:rPr>
            </w:pPr>
            <w:r w:rsidRPr="00263C50">
              <w:rPr>
                <w:rFonts w:ascii="Times New Roman" w:eastAsia="Times New Roman" w:hAnsi="Times New Roman" w:cs="Times New Roman"/>
                <w:color w:val="000000"/>
                <w:sz w:val="20"/>
                <w:szCs w:val="20"/>
                <w:lang w:val="en-US" w:eastAsia="zh-TW"/>
              </w:rPr>
              <w:t>145</w:t>
            </w:r>
          </w:p>
        </w:tc>
        <w:tc>
          <w:tcPr>
            <w:tcW w:w="1494" w:type="dxa"/>
            <w:tcBorders>
              <w:top w:val="nil"/>
              <w:left w:val="nil"/>
              <w:bottom w:val="single" w:sz="4" w:space="0" w:color="auto"/>
              <w:right w:val="nil"/>
            </w:tcBorders>
            <w:vAlign w:val="center"/>
          </w:tcPr>
          <w:p w14:paraId="10C8519C" w14:textId="77777777" w:rsidR="0089544F" w:rsidRPr="00263C50" w:rsidRDefault="0089544F" w:rsidP="00186583">
            <w:pPr>
              <w:jc w:val="center"/>
              <w:rPr>
                <w:rFonts w:ascii="Times New Roman" w:eastAsia="Times New Roman" w:hAnsi="Times New Roman" w:cs="Times New Roman"/>
                <w:color w:val="000000" w:themeColor="text1"/>
                <w:sz w:val="20"/>
                <w:szCs w:val="20"/>
                <w:lang w:val="en-US" w:eastAsia="zh-TW"/>
              </w:rPr>
            </w:pPr>
            <w:r w:rsidRPr="00263C50">
              <w:rPr>
                <w:rFonts w:ascii="Times New Roman" w:eastAsia="Times New Roman" w:hAnsi="Times New Roman" w:cs="Times New Roman"/>
                <w:color w:val="000000"/>
                <w:sz w:val="20"/>
                <w:szCs w:val="20"/>
                <w:lang w:val="en-US" w:eastAsia="zh-TW"/>
              </w:rPr>
              <w:t>145</w:t>
            </w:r>
          </w:p>
        </w:tc>
        <w:tc>
          <w:tcPr>
            <w:tcW w:w="1510" w:type="dxa"/>
            <w:tcBorders>
              <w:top w:val="nil"/>
              <w:left w:val="nil"/>
              <w:bottom w:val="single" w:sz="4" w:space="0" w:color="auto"/>
              <w:right w:val="nil"/>
            </w:tcBorders>
            <w:vAlign w:val="center"/>
          </w:tcPr>
          <w:p w14:paraId="6FEF9AC5" w14:textId="77777777" w:rsidR="0089544F" w:rsidRPr="00263C50" w:rsidRDefault="0089544F" w:rsidP="00186583">
            <w:pPr>
              <w:jc w:val="center"/>
              <w:rPr>
                <w:rFonts w:ascii="Times New Roman" w:eastAsia="Times New Roman" w:hAnsi="Times New Roman" w:cs="Times New Roman"/>
                <w:color w:val="000000" w:themeColor="text1"/>
                <w:sz w:val="20"/>
                <w:szCs w:val="20"/>
                <w:lang w:val="en-US" w:eastAsia="zh-TW"/>
              </w:rPr>
            </w:pPr>
            <w:r w:rsidRPr="00263C50">
              <w:rPr>
                <w:rFonts w:ascii="Times New Roman" w:eastAsia="Times New Roman" w:hAnsi="Times New Roman" w:cs="Times New Roman"/>
                <w:color w:val="000000"/>
                <w:sz w:val="20"/>
                <w:szCs w:val="20"/>
                <w:lang w:val="en-US" w:eastAsia="zh-TW"/>
              </w:rPr>
              <w:t>145</w:t>
            </w:r>
          </w:p>
        </w:tc>
        <w:tc>
          <w:tcPr>
            <w:tcW w:w="1508" w:type="dxa"/>
            <w:tcBorders>
              <w:top w:val="nil"/>
              <w:left w:val="nil"/>
              <w:bottom w:val="single" w:sz="4" w:space="0" w:color="auto"/>
              <w:right w:val="nil"/>
            </w:tcBorders>
            <w:vAlign w:val="center"/>
          </w:tcPr>
          <w:p w14:paraId="5611743F" w14:textId="77777777" w:rsidR="0089544F" w:rsidRPr="00263C50" w:rsidRDefault="0089544F" w:rsidP="00186583">
            <w:pPr>
              <w:jc w:val="center"/>
              <w:rPr>
                <w:rFonts w:ascii="Times New Roman" w:eastAsia="Times New Roman" w:hAnsi="Times New Roman" w:cs="Times New Roman"/>
                <w:color w:val="000000" w:themeColor="text1"/>
                <w:sz w:val="20"/>
                <w:szCs w:val="20"/>
                <w:lang w:val="en-US" w:eastAsia="zh-TW"/>
              </w:rPr>
            </w:pPr>
            <w:r w:rsidRPr="00263C50">
              <w:rPr>
                <w:rFonts w:ascii="Times New Roman" w:eastAsia="Times New Roman" w:hAnsi="Times New Roman" w:cs="Times New Roman"/>
                <w:color w:val="000000"/>
                <w:sz w:val="20"/>
                <w:szCs w:val="20"/>
                <w:lang w:val="en-US" w:eastAsia="zh-TW"/>
              </w:rPr>
              <w:t>145</w:t>
            </w:r>
          </w:p>
        </w:tc>
      </w:tr>
    </w:tbl>
    <w:p w14:paraId="070C5456" w14:textId="77777777" w:rsidR="00263C50" w:rsidRDefault="00263C50" w:rsidP="00186583">
      <w:pPr>
        <w:rPr>
          <w:rFonts w:ascii="Times New Roman" w:hAnsi="Times New Roman" w:cs="Times New Roman"/>
          <w:sz w:val="20"/>
          <w:szCs w:val="20"/>
          <w:lang w:val="en-US"/>
        </w:rPr>
      </w:pPr>
    </w:p>
    <w:p w14:paraId="43518039" w14:textId="77777777" w:rsidR="00263C50" w:rsidRPr="00263C50" w:rsidRDefault="00263C50" w:rsidP="00186583">
      <w:pPr>
        <w:rPr>
          <w:rFonts w:ascii="Times New Roman" w:hAnsi="Times New Roman" w:cs="Times New Roman"/>
          <w:sz w:val="20"/>
          <w:szCs w:val="20"/>
          <w:lang w:val="en-US"/>
        </w:rPr>
        <w:sectPr w:rsidR="00263C50" w:rsidRPr="00263C50" w:rsidSect="00CA4B1F">
          <w:pgSz w:w="12240" w:h="15840"/>
          <w:pgMar w:top="1440" w:right="1440" w:bottom="1440" w:left="1440" w:header="720" w:footer="720" w:gutter="0"/>
          <w:cols w:space="720"/>
          <w:docGrid w:linePitch="360"/>
        </w:sectPr>
      </w:pPr>
    </w:p>
    <w:p w14:paraId="49730F94" w14:textId="77777777" w:rsidR="0089544F" w:rsidRDefault="0089544F" w:rsidP="00186583">
      <w:pPr>
        <w:rPr>
          <w:rFonts w:ascii="Times New Roman" w:hAnsi="Times New Roman" w:cs="Times New Roman"/>
          <w:b/>
          <w:sz w:val="20"/>
          <w:szCs w:val="20"/>
          <w:lang w:val="en-US"/>
        </w:rPr>
      </w:pPr>
      <w:r w:rsidRPr="00263C50">
        <w:rPr>
          <w:rFonts w:ascii="Times New Roman" w:hAnsi="Times New Roman" w:cs="Times New Roman"/>
          <w:b/>
          <w:sz w:val="20"/>
          <w:szCs w:val="20"/>
          <w:lang w:val="en-US"/>
        </w:rPr>
        <w:lastRenderedPageBreak/>
        <w:t>Table 8 The impact of accounting without tax education on Tax Literacy/Tax Confidence</w:t>
      </w:r>
    </w:p>
    <w:p w14:paraId="6A7D8DEC" w14:textId="77777777" w:rsidR="00263C50" w:rsidRPr="00263C50" w:rsidRDefault="00263C50" w:rsidP="00186583">
      <w:pPr>
        <w:rPr>
          <w:rFonts w:ascii="Times New Roman" w:hAnsi="Times New Roman" w:cs="Times New Roman"/>
          <w:b/>
          <w:sz w:val="20"/>
          <w:szCs w:val="20"/>
          <w:lang w:val="en-US"/>
        </w:rPr>
      </w:pPr>
    </w:p>
    <w:tbl>
      <w:tblPr>
        <w:tblW w:w="2559" w:type="pct"/>
        <w:jc w:val="center"/>
        <w:tblLook w:val="04A0" w:firstRow="1" w:lastRow="0" w:firstColumn="1" w:lastColumn="0" w:noHBand="0" w:noVBand="1"/>
      </w:tblPr>
      <w:tblGrid>
        <w:gridCol w:w="1744"/>
        <w:gridCol w:w="1524"/>
        <w:gridCol w:w="1522"/>
      </w:tblGrid>
      <w:tr w:rsidR="0089544F" w:rsidRPr="00263C50" w14:paraId="04DED47E" w14:textId="77777777" w:rsidTr="005668E0">
        <w:trPr>
          <w:trHeight w:val="288"/>
          <w:jc w:val="center"/>
        </w:trPr>
        <w:tc>
          <w:tcPr>
            <w:tcW w:w="1820" w:type="pct"/>
            <w:tcBorders>
              <w:top w:val="single" w:sz="4" w:space="0" w:color="auto"/>
              <w:left w:val="nil"/>
              <w:bottom w:val="single" w:sz="4" w:space="0" w:color="auto"/>
              <w:right w:val="nil"/>
            </w:tcBorders>
            <w:shd w:val="clear" w:color="auto" w:fill="auto"/>
            <w:noWrap/>
            <w:vAlign w:val="center"/>
          </w:tcPr>
          <w:p w14:paraId="084BC035" w14:textId="77777777" w:rsidR="0089544F" w:rsidRPr="00263C50" w:rsidRDefault="0089544F" w:rsidP="00186583">
            <w:pPr>
              <w:rPr>
                <w:rFonts w:ascii="Times New Roman" w:hAnsi="Times New Roman" w:cs="Times New Roman"/>
                <w:sz w:val="20"/>
                <w:szCs w:val="20"/>
                <w:lang w:val="en-US"/>
              </w:rPr>
            </w:pPr>
          </w:p>
        </w:tc>
        <w:tc>
          <w:tcPr>
            <w:tcW w:w="1591" w:type="pct"/>
            <w:tcBorders>
              <w:top w:val="single" w:sz="4" w:space="0" w:color="auto"/>
              <w:left w:val="nil"/>
              <w:bottom w:val="single" w:sz="4" w:space="0" w:color="auto"/>
              <w:right w:val="nil"/>
            </w:tcBorders>
            <w:vAlign w:val="center"/>
          </w:tcPr>
          <w:p w14:paraId="5D19572B" w14:textId="77777777" w:rsidR="0089544F" w:rsidRPr="00263C50" w:rsidRDefault="0089544F" w:rsidP="00186583">
            <w:pPr>
              <w:jc w:val="center"/>
              <w:rPr>
                <w:rFonts w:ascii="Times New Roman" w:hAnsi="Times New Roman" w:cs="Times New Roman"/>
                <w:i/>
                <w:sz w:val="20"/>
                <w:szCs w:val="20"/>
                <w:lang w:val="en-US"/>
              </w:rPr>
            </w:pPr>
            <w:proofErr w:type="spellStart"/>
            <w:r w:rsidRPr="00263C50">
              <w:rPr>
                <w:rFonts w:ascii="Times New Roman" w:hAnsi="Times New Roman" w:cs="Times New Roman"/>
                <w:i/>
                <w:sz w:val="20"/>
                <w:szCs w:val="20"/>
                <w:lang w:val="en-US"/>
              </w:rPr>
              <w:t>TaxLit</w:t>
            </w:r>
            <w:proofErr w:type="spellEnd"/>
          </w:p>
        </w:tc>
        <w:tc>
          <w:tcPr>
            <w:tcW w:w="1589" w:type="pct"/>
            <w:tcBorders>
              <w:top w:val="single" w:sz="4" w:space="0" w:color="auto"/>
              <w:left w:val="nil"/>
              <w:bottom w:val="single" w:sz="4" w:space="0" w:color="auto"/>
              <w:right w:val="nil"/>
            </w:tcBorders>
            <w:vAlign w:val="center"/>
          </w:tcPr>
          <w:p w14:paraId="3031E304" w14:textId="77777777" w:rsidR="0089544F" w:rsidRPr="00263C50" w:rsidRDefault="0089544F" w:rsidP="00186583">
            <w:pPr>
              <w:jc w:val="center"/>
              <w:rPr>
                <w:rFonts w:ascii="Times New Roman" w:hAnsi="Times New Roman" w:cs="Times New Roman"/>
                <w:i/>
                <w:sz w:val="20"/>
                <w:szCs w:val="20"/>
                <w:lang w:val="en-US"/>
              </w:rPr>
            </w:pPr>
            <w:proofErr w:type="spellStart"/>
            <w:r w:rsidRPr="00263C50">
              <w:rPr>
                <w:rFonts w:ascii="Times New Roman" w:hAnsi="Times New Roman" w:cs="Times New Roman"/>
                <w:i/>
                <w:sz w:val="20"/>
                <w:szCs w:val="20"/>
                <w:lang w:val="en-US"/>
              </w:rPr>
              <w:t>TaxConf</w:t>
            </w:r>
            <w:proofErr w:type="spellEnd"/>
          </w:p>
        </w:tc>
      </w:tr>
      <w:tr w:rsidR="0089544F" w:rsidRPr="00263C50" w14:paraId="38A6B24B" w14:textId="77777777" w:rsidTr="005668E0">
        <w:trPr>
          <w:trHeight w:val="288"/>
          <w:jc w:val="center"/>
        </w:trPr>
        <w:tc>
          <w:tcPr>
            <w:tcW w:w="1820" w:type="pct"/>
            <w:tcBorders>
              <w:top w:val="nil"/>
              <w:left w:val="nil"/>
              <w:bottom w:val="nil"/>
              <w:right w:val="nil"/>
            </w:tcBorders>
            <w:shd w:val="clear" w:color="auto" w:fill="auto"/>
            <w:noWrap/>
            <w:vAlign w:val="center"/>
          </w:tcPr>
          <w:p w14:paraId="738A968D"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IntroAcctg</w:t>
            </w:r>
            <w:proofErr w:type="spellEnd"/>
          </w:p>
        </w:tc>
        <w:tc>
          <w:tcPr>
            <w:tcW w:w="1591" w:type="pct"/>
            <w:tcBorders>
              <w:top w:val="nil"/>
              <w:left w:val="nil"/>
              <w:bottom w:val="nil"/>
              <w:right w:val="nil"/>
            </w:tcBorders>
            <w:shd w:val="clear" w:color="auto" w:fill="auto"/>
            <w:vAlign w:val="center"/>
          </w:tcPr>
          <w:p w14:paraId="26BE829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-0.011</w:t>
            </w:r>
          </w:p>
        </w:tc>
        <w:tc>
          <w:tcPr>
            <w:tcW w:w="1589" w:type="pct"/>
            <w:tcBorders>
              <w:top w:val="nil"/>
              <w:left w:val="nil"/>
              <w:bottom w:val="nil"/>
              <w:right w:val="nil"/>
            </w:tcBorders>
            <w:shd w:val="clear" w:color="auto" w:fill="auto"/>
            <w:vAlign w:val="center"/>
          </w:tcPr>
          <w:p w14:paraId="75A43C3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-0.20</w:t>
            </w:r>
          </w:p>
        </w:tc>
      </w:tr>
      <w:tr w:rsidR="0089544F" w:rsidRPr="00263C50" w14:paraId="02D01463" w14:textId="77777777" w:rsidTr="005668E0">
        <w:trPr>
          <w:trHeight w:val="288"/>
          <w:jc w:val="center"/>
        </w:trPr>
        <w:tc>
          <w:tcPr>
            <w:tcW w:w="1820" w:type="pct"/>
            <w:tcBorders>
              <w:top w:val="nil"/>
              <w:left w:val="nil"/>
              <w:bottom w:val="nil"/>
              <w:right w:val="nil"/>
            </w:tcBorders>
            <w:shd w:val="clear" w:color="auto" w:fill="auto"/>
            <w:noWrap/>
            <w:vAlign w:val="center"/>
          </w:tcPr>
          <w:p w14:paraId="6E12B698" w14:textId="77777777" w:rsidR="0089544F" w:rsidRPr="00263C50" w:rsidRDefault="0089544F" w:rsidP="00186583">
            <w:pPr>
              <w:rPr>
                <w:rFonts w:ascii="Times New Roman" w:hAnsi="Times New Roman" w:cs="Times New Roman"/>
                <w:i/>
                <w:color w:val="000000"/>
                <w:sz w:val="20"/>
                <w:szCs w:val="20"/>
              </w:rPr>
            </w:pPr>
          </w:p>
        </w:tc>
        <w:tc>
          <w:tcPr>
            <w:tcW w:w="1591" w:type="pct"/>
            <w:tcBorders>
              <w:top w:val="nil"/>
              <w:left w:val="nil"/>
              <w:bottom w:val="nil"/>
              <w:right w:val="nil"/>
            </w:tcBorders>
            <w:shd w:val="clear" w:color="auto" w:fill="auto"/>
            <w:vAlign w:val="center"/>
          </w:tcPr>
          <w:p w14:paraId="5EF3CCC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(-0.28)</w:t>
            </w:r>
          </w:p>
        </w:tc>
        <w:tc>
          <w:tcPr>
            <w:tcW w:w="1589" w:type="pct"/>
            <w:tcBorders>
              <w:top w:val="nil"/>
              <w:left w:val="nil"/>
              <w:bottom w:val="nil"/>
              <w:right w:val="nil"/>
            </w:tcBorders>
            <w:shd w:val="clear" w:color="auto" w:fill="auto"/>
            <w:vAlign w:val="center"/>
          </w:tcPr>
          <w:p w14:paraId="4A037C9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(-1.17)</w:t>
            </w:r>
          </w:p>
        </w:tc>
      </w:tr>
      <w:tr w:rsidR="0089544F" w:rsidRPr="00263C50" w14:paraId="43BBDF13" w14:textId="77777777" w:rsidTr="005668E0">
        <w:trPr>
          <w:trHeight w:val="288"/>
          <w:jc w:val="center"/>
        </w:trPr>
        <w:tc>
          <w:tcPr>
            <w:tcW w:w="1820" w:type="pct"/>
            <w:tcBorders>
              <w:top w:val="nil"/>
              <w:left w:val="nil"/>
              <w:bottom w:val="nil"/>
              <w:right w:val="nil"/>
            </w:tcBorders>
            <w:shd w:val="clear" w:color="auto" w:fill="auto"/>
            <w:noWrap/>
            <w:vAlign w:val="center"/>
          </w:tcPr>
          <w:p w14:paraId="03AAD7C9"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UpperAcctg</w:t>
            </w:r>
            <w:proofErr w:type="spellEnd"/>
          </w:p>
        </w:tc>
        <w:tc>
          <w:tcPr>
            <w:tcW w:w="1591" w:type="pct"/>
            <w:tcBorders>
              <w:top w:val="nil"/>
              <w:left w:val="nil"/>
              <w:bottom w:val="nil"/>
              <w:right w:val="nil"/>
            </w:tcBorders>
            <w:shd w:val="clear" w:color="auto" w:fill="auto"/>
            <w:vAlign w:val="center"/>
          </w:tcPr>
          <w:p w14:paraId="4C24E7E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-0.025</w:t>
            </w:r>
          </w:p>
        </w:tc>
        <w:tc>
          <w:tcPr>
            <w:tcW w:w="1589" w:type="pct"/>
            <w:tcBorders>
              <w:top w:val="nil"/>
              <w:left w:val="nil"/>
              <w:bottom w:val="nil"/>
              <w:right w:val="nil"/>
            </w:tcBorders>
            <w:shd w:val="clear" w:color="auto" w:fill="auto"/>
            <w:vAlign w:val="center"/>
          </w:tcPr>
          <w:p w14:paraId="3EE0738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-0.18</w:t>
            </w:r>
          </w:p>
        </w:tc>
      </w:tr>
      <w:tr w:rsidR="0089544F" w:rsidRPr="00263C50" w14:paraId="2B654137" w14:textId="77777777" w:rsidTr="005668E0">
        <w:trPr>
          <w:trHeight w:val="288"/>
          <w:jc w:val="center"/>
        </w:trPr>
        <w:tc>
          <w:tcPr>
            <w:tcW w:w="1820" w:type="pct"/>
            <w:tcBorders>
              <w:top w:val="nil"/>
              <w:left w:val="nil"/>
              <w:right w:val="nil"/>
            </w:tcBorders>
            <w:shd w:val="clear" w:color="auto" w:fill="auto"/>
            <w:noWrap/>
            <w:vAlign w:val="center"/>
          </w:tcPr>
          <w:p w14:paraId="1969B31F" w14:textId="77777777" w:rsidR="0089544F" w:rsidRPr="00263C50" w:rsidRDefault="0089544F" w:rsidP="00186583">
            <w:pPr>
              <w:rPr>
                <w:rFonts w:ascii="Times New Roman" w:hAnsi="Times New Roman" w:cs="Times New Roman"/>
                <w:i/>
                <w:color w:val="000000"/>
                <w:sz w:val="20"/>
                <w:szCs w:val="20"/>
              </w:rPr>
            </w:pPr>
          </w:p>
        </w:tc>
        <w:tc>
          <w:tcPr>
            <w:tcW w:w="1591" w:type="pct"/>
            <w:tcBorders>
              <w:top w:val="nil"/>
              <w:left w:val="nil"/>
              <w:right w:val="nil"/>
            </w:tcBorders>
            <w:shd w:val="clear" w:color="auto" w:fill="auto"/>
            <w:vAlign w:val="center"/>
          </w:tcPr>
          <w:p w14:paraId="0709703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(-0.38)</w:t>
            </w:r>
          </w:p>
        </w:tc>
        <w:tc>
          <w:tcPr>
            <w:tcW w:w="1589" w:type="pct"/>
            <w:tcBorders>
              <w:top w:val="nil"/>
              <w:left w:val="nil"/>
              <w:right w:val="nil"/>
            </w:tcBorders>
            <w:shd w:val="clear" w:color="auto" w:fill="auto"/>
            <w:vAlign w:val="center"/>
          </w:tcPr>
          <w:p w14:paraId="10230AE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(-1.01)</w:t>
            </w:r>
          </w:p>
        </w:tc>
      </w:tr>
      <w:tr w:rsidR="0089544F" w:rsidRPr="00263C50" w14:paraId="188D13B0" w14:textId="77777777" w:rsidTr="005668E0">
        <w:trPr>
          <w:trHeight w:val="288"/>
          <w:jc w:val="center"/>
        </w:trPr>
        <w:tc>
          <w:tcPr>
            <w:tcW w:w="1820" w:type="pct"/>
            <w:tcBorders>
              <w:left w:val="nil"/>
              <w:bottom w:val="nil"/>
              <w:right w:val="nil"/>
            </w:tcBorders>
            <w:shd w:val="clear" w:color="auto" w:fill="auto"/>
            <w:noWrap/>
            <w:vAlign w:val="center"/>
          </w:tcPr>
          <w:p w14:paraId="6683AEE6"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FinLit</w:t>
            </w:r>
            <w:proofErr w:type="spellEnd"/>
          </w:p>
        </w:tc>
        <w:tc>
          <w:tcPr>
            <w:tcW w:w="1591" w:type="pct"/>
            <w:tcBorders>
              <w:left w:val="nil"/>
              <w:bottom w:val="nil"/>
              <w:right w:val="nil"/>
            </w:tcBorders>
            <w:shd w:val="clear" w:color="auto" w:fill="auto"/>
            <w:vAlign w:val="center"/>
          </w:tcPr>
          <w:p w14:paraId="64D9982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0.35***</w:t>
            </w:r>
          </w:p>
        </w:tc>
        <w:tc>
          <w:tcPr>
            <w:tcW w:w="1589" w:type="pct"/>
            <w:tcBorders>
              <w:left w:val="nil"/>
              <w:bottom w:val="nil"/>
              <w:right w:val="nil"/>
            </w:tcBorders>
            <w:shd w:val="clear" w:color="auto" w:fill="auto"/>
            <w:vAlign w:val="center"/>
          </w:tcPr>
          <w:p w14:paraId="0AAFE26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-0.29</w:t>
            </w:r>
          </w:p>
        </w:tc>
      </w:tr>
      <w:tr w:rsidR="0089544F" w:rsidRPr="00263C50" w14:paraId="48B75394" w14:textId="77777777" w:rsidTr="005668E0">
        <w:trPr>
          <w:trHeight w:val="288"/>
          <w:jc w:val="center"/>
        </w:trPr>
        <w:tc>
          <w:tcPr>
            <w:tcW w:w="1820" w:type="pct"/>
            <w:tcBorders>
              <w:top w:val="nil"/>
              <w:left w:val="nil"/>
              <w:bottom w:val="nil"/>
              <w:right w:val="nil"/>
            </w:tcBorders>
            <w:shd w:val="clear" w:color="auto" w:fill="auto"/>
            <w:noWrap/>
            <w:vAlign w:val="center"/>
          </w:tcPr>
          <w:p w14:paraId="7738F5FD"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91" w:type="pct"/>
            <w:tcBorders>
              <w:top w:val="nil"/>
              <w:left w:val="nil"/>
              <w:bottom w:val="nil"/>
              <w:right w:val="nil"/>
            </w:tcBorders>
            <w:shd w:val="clear" w:color="auto" w:fill="auto"/>
            <w:vAlign w:val="center"/>
          </w:tcPr>
          <w:p w14:paraId="5F41EDC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(5.20)</w:t>
            </w:r>
          </w:p>
        </w:tc>
        <w:tc>
          <w:tcPr>
            <w:tcW w:w="1589" w:type="pct"/>
            <w:tcBorders>
              <w:top w:val="nil"/>
              <w:left w:val="nil"/>
              <w:bottom w:val="nil"/>
              <w:right w:val="nil"/>
            </w:tcBorders>
            <w:shd w:val="clear" w:color="auto" w:fill="auto"/>
            <w:vAlign w:val="center"/>
          </w:tcPr>
          <w:p w14:paraId="7F4D049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(-0.98)</w:t>
            </w:r>
          </w:p>
        </w:tc>
      </w:tr>
      <w:tr w:rsidR="0089544F" w:rsidRPr="00263C50" w14:paraId="684576F3" w14:textId="77777777" w:rsidTr="005668E0">
        <w:trPr>
          <w:trHeight w:val="288"/>
          <w:jc w:val="center"/>
        </w:trPr>
        <w:tc>
          <w:tcPr>
            <w:tcW w:w="1820" w:type="pct"/>
            <w:tcBorders>
              <w:top w:val="nil"/>
              <w:left w:val="nil"/>
              <w:bottom w:val="nil"/>
              <w:right w:val="nil"/>
            </w:tcBorders>
            <w:shd w:val="clear" w:color="auto" w:fill="auto"/>
            <w:noWrap/>
            <w:vAlign w:val="center"/>
          </w:tcPr>
          <w:p w14:paraId="3C0E2C82"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TaxLit</w:t>
            </w:r>
            <w:proofErr w:type="spellEnd"/>
          </w:p>
        </w:tc>
        <w:tc>
          <w:tcPr>
            <w:tcW w:w="1591" w:type="pct"/>
            <w:tcBorders>
              <w:top w:val="nil"/>
              <w:left w:val="nil"/>
              <w:bottom w:val="nil"/>
              <w:right w:val="nil"/>
            </w:tcBorders>
            <w:shd w:val="clear" w:color="auto" w:fill="auto"/>
            <w:vAlign w:val="center"/>
          </w:tcPr>
          <w:p w14:paraId="06CE459B"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w:t>
            </w:r>
          </w:p>
        </w:tc>
        <w:tc>
          <w:tcPr>
            <w:tcW w:w="1589" w:type="pct"/>
            <w:tcBorders>
              <w:top w:val="nil"/>
              <w:left w:val="nil"/>
              <w:bottom w:val="nil"/>
              <w:right w:val="nil"/>
            </w:tcBorders>
            <w:shd w:val="clear" w:color="auto" w:fill="auto"/>
            <w:vAlign w:val="center"/>
          </w:tcPr>
          <w:p w14:paraId="3250FEA3"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hAnsi="Times New Roman" w:cs="Times New Roman"/>
                <w:color w:val="000000"/>
                <w:sz w:val="20"/>
                <w:szCs w:val="20"/>
              </w:rPr>
              <w:t>0.85**</w:t>
            </w:r>
          </w:p>
        </w:tc>
      </w:tr>
      <w:tr w:rsidR="0089544F" w:rsidRPr="00263C50" w14:paraId="1244EB5A" w14:textId="77777777" w:rsidTr="005668E0">
        <w:trPr>
          <w:trHeight w:val="288"/>
          <w:jc w:val="center"/>
        </w:trPr>
        <w:tc>
          <w:tcPr>
            <w:tcW w:w="1820" w:type="pct"/>
            <w:tcBorders>
              <w:top w:val="nil"/>
              <w:left w:val="nil"/>
              <w:bottom w:val="nil"/>
              <w:right w:val="nil"/>
            </w:tcBorders>
            <w:shd w:val="clear" w:color="auto" w:fill="auto"/>
            <w:noWrap/>
            <w:vAlign w:val="center"/>
          </w:tcPr>
          <w:p w14:paraId="4BF129E9" w14:textId="77777777" w:rsidR="0089544F" w:rsidRPr="00263C50" w:rsidRDefault="0089544F" w:rsidP="00186583">
            <w:pPr>
              <w:rPr>
                <w:rFonts w:ascii="Times New Roman" w:hAnsi="Times New Roman" w:cs="Times New Roman"/>
                <w:i/>
                <w:color w:val="000000"/>
                <w:sz w:val="20"/>
                <w:szCs w:val="20"/>
              </w:rPr>
            </w:pPr>
          </w:p>
        </w:tc>
        <w:tc>
          <w:tcPr>
            <w:tcW w:w="1591" w:type="pct"/>
            <w:tcBorders>
              <w:top w:val="nil"/>
              <w:left w:val="nil"/>
              <w:bottom w:val="nil"/>
              <w:right w:val="nil"/>
            </w:tcBorders>
            <w:vAlign w:val="center"/>
          </w:tcPr>
          <w:p w14:paraId="7DE19D1E"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p>
        </w:tc>
        <w:tc>
          <w:tcPr>
            <w:tcW w:w="1589" w:type="pct"/>
            <w:tcBorders>
              <w:top w:val="nil"/>
              <w:left w:val="nil"/>
              <w:bottom w:val="nil"/>
              <w:right w:val="nil"/>
            </w:tcBorders>
            <w:vAlign w:val="center"/>
          </w:tcPr>
          <w:p w14:paraId="5355810E"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hAnsi="Times New Roman" w:cs="Times New Roman"/>
                <w:color w:val="000000"/>
                <w:sz w:val="20"/>
                <w:szCs w:val="20"/>
              </w:rPr>
              <w:t>(2.34)</w:t>
            </w:r>
          </w:p>
        </w:tc>
      </w:tr>
      <w:tr w:rsidR="0089544F" w:rsidRPr="00263C50" w14:paraId="6041331C" w14:textId="77777777" w:rsidTr="005668E0">
        <w:trPr>
          <w:trHeight w:val="288"/>
          <w:jc w:val="center"/>
        </w:trPr>
        <w:tc>
          <w:tcPr>
            <w:tcW w:w="1820" w:type="pct"/>
            <w:tcBorders>
              <w:top w:val="nil"/>
              <w:left w:val="nil"/>
              <w:bottom w:val="nil"/>
              <w:right w:val="nil"/>
            </w:tcBorders>
            <w:shd w:val="clear" w:color="auto" w:fill="auto"/>
            <w:noWrap/>
            <w:vAlign w:val="center"/>
          </w:tcPr>
          <w:p w14:paraId="7905996F"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FinConf</w:t>
            </w:r>
            <w:proofErr w:type="spellEnd"/>
          </w:p>
        </w:tc>
        <w:tc>
          <w:tcPr>
            <w:tcW w:w="1591" w:type="pct"/>
            <w:tcBorders>
              <w:top w:val="nil"/>
              <w:left w:val="nil"/>
              <w:bottom w:val="nil"/>
              <w:right w:val="nil"/>
            </w:tcBorders>
            <w:vAlign w:val="center"/>
          </w:tcPr>
          <w:p w14:paraId="66DC2AF0"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w:t>
            </w:r>
          </w:p>
        </w:tc>
        <w:tc>
          <w:tcPr>
            <w:tcW w:w="1589" w:type="pct"/>
            <w:tcBorders>
              <w:top w:val="nil"/>
              <w:left w:val="nil"/>
              <w:bottom w:val="nil"/>
              <w:right w:val="nil"/>
            </w:tcBorders>
            <w:vAlign w:val="center"/>
          </w:tcPr>
          <w:p w14:paraId="27681D85"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hAnsi="Times New Roman" w:cs="Times New Roman"/>
                <w:color w:val="000000"/>
                <w:sz w:val="20"/>
                <w:szCs w:val="20"/>
              </w:rPr>
              <w:t>0.46***</w:t>
            </w:r>
          </w:p>
        </w:tc>
      </w:tr>
      <w:tr w:rsidR="0089544F" w:rsidRPr="00263C50" w14:paraId="145D4D64" w14:textId="77777777" w:rsidTr="005668E0">
        <w:trPr>
          <w:trHeight w:val="288"/>
          <w:jc w:val="center"/>
        </w:trPr>
        <w:tc>
          <w:tcPr>
            <w:tcW w:w="1820" w:type="pct"/>
            <w:tcBorders>
              <w:top w:val="nil"/>
              <w:left w:val="nil"/>
              <w:bottom w:val="nil"/>
              <w:right w:val="nil"/>
            </w:tcBorders>
            <w:shd w:val="clear" w:color="auto" w:fill="auto"/>
            <w:noWrap/>
            <w:vAlign w:val="center"/>
          </w:tcPr>
          <w:p w14:paraId="40529110" w14:textId="77777777" w:rsidR="0089544F" w:rsidRPr="00263C50" w:rsidRDefault="0089544F" w:rsidP="00186583">
            <w:pPr>
              <w:rPr>
                <w:rFonts w:ascii="Times New Roman" w:hAnsi="Times New Roman" w:cs="Times New Roman"/>
                <w:i/>
                <w:color w:val="000000"/>
                <w:sz w:val="20"/>
                <w:szCs w:val="20"/>
              </w:rPr>
            </w:pPr>
          </w:p>
        </w:tc>
        <w:tc>
          <w:tcPr>
            <w:tcW w:w="1591" w:type="pct"/>
            <w:tcBorders>
              <w:top w:val="nil"/>
              <w:left w:val="nil"/>
              <w:bottom w:val="nil"/>
              <w:right w:val="nil"/>
            </w:tcBorders>
            <w:vAlign w:val="center"/>
          </w:tcPr>
          <w:p w14:paraId="3A93EF20"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p>
        </w:tc>
        <w:tc>
          <w:tcPr>
            <w:tcW w:w="1589" w:type="pct"/>
            <w:tcBorders>
              <w:top w:val="nil"/>
              <w:left w:val="nil"/>
              <w:bottom w:val="nil"/>
              <w:right w:val="nil"/>
            </w:tcBorders>
            <w:vAlign w:val="center"/>
          </w:tcPr>
          <w:p w14:paraId="58497012"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hAnsi="Times New Roman" w:cs="Times New Roman"/>
                <w:color w:val="000000"/>
                <w:sz w:val="20"/>
                <w:szCs w:val="20"/>
              </w:rPr>
              <w:t>(6.32)</w:t>
            </w:r>
          </w:p>
        </w:tc>
      </w:tr>
      <w:tr w:rsidR="0089544F" w:rsidRPr="00263C50" w14:paraId="78FC99A6" w14:textId="77777777" w:rsidTr="005668E0">
        <w:trPr>
          <w:trHeight w:val="288"/>
          <w:jc w:val="center"/>
        </w:trPr>
        <w:tc>
          <w:tcPr>
            <w:tcW w:w="1820" w:type="pct"/>
            <w:tcBorders>
              <w:top w:val="nil"/>
              <w:left w:val="nil"/>
              <w:bottom w:val="nil"/>
              <w:right w:val="nil"/>
            </w:tcBorders>
            <w:shd w:val="clear" w:color="auto" w:fill="auto"/>
            <w:noWrap/>
            <w:vAlign w:val="center"/>
          </w:tcPr>
          <w:p w14:paraId="5A6EA98D"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hAnsi="Times New Roman" w:cs="Times New Roman"/>
                <w:i/>
                <w:color w:val="000000"/>
                <w:sz w:val="20"/>
                <w:szCs w:val="20"/>
              </w:rPr>
              <w:t>Gender</w:t>
            </w:r>
          </w:p>
        </w:tc>
        <w:tc>
          <w:tcPr>
            <w:tcW w:w="1591" w:type="pct"/>
            <w:tcBorders>
              <w:top w:val="nil"/>
              <w:left w:val="nil"/>
              <w:bottom w:val="nil"/>
              <w:right w:val="nil"/>
            </w:tcBorders>
            <w:shd w:val="clear" w:color="auto" w:fill="auto"/>
            <w:vAlign w:val="center"/>
          </w:tcPr>
          <w:p w14:paraId="626B773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-0.0100</w:t>
            </w:r>
          </w:p>
        </w:tc>
        <w:tc>
          <w:tcPr>
            <w:tcW w:w="1589" w:type="pct"/>
            <w:tcBorders>
              <w:top w:val="nil"/>
              <w:left w:val="nil"/>
              <w:bottom w:val="nil"/>
              <w:right w:val="nil"/>
            </w:tcBorders>
            <w:vAlign w:val="center"/>
          </w:tcPr>
          <w:p w14:paraId="4FC94F8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0.15</w:t>
            </w:r>
          </w:p>
        </w:tc>
      </w:tr>
      <w:tr w:rsidR="0089544F" w:rsidRPr="00263C50" w14:paraId="2CFEC36D" w14:textId="77777777" w:rsidTr="005668E0">
        <w:trPr>
          <w:trHeight w:val="288"/>
          <w:jc w:val="center"/>
        </w:trPr>
        <w:tc>
          <w:tcPr>
            <w:tcW w:w="1820" w:type="pct"/>
            <w:tcBorders>
              <w:top w:val="nil"/>
              <w:left w:val="nil"/>
              <w:bottom w:val="nil"/>
              <w:right w:val="nil"/>
            </w:tcBorders>
            <w:shd w:val="clear" w:color="auto" w:fill="auto"/>
            <w:noWrap/>
            <w:vAlign w:val="center"/>
          </w:tcPr>
          <w:p w14:paraId="0D9F6A92"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91" w:type="pct"/>
            <w:tcBorders>
              <w:top w:val="nil"/>
              <w:left w:val="nil"/>
              <w:bottom w:val="nil"/>
              <w:right w:val="nil"/>
            </w:tcBorders>
            <w:shd w:val="clear" w:color="auto" w:fill="auto"/>
            <w:vAlign w:val="center"/>
          </w:tcPr>
          <w:p w14:paraId="37C820D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(-0.25)</w:t>
            </w:r>
          </w:p>
        </w:tc>
        <w:tc>
          <w:tcPr>
            <w:tcW w:w="1589" w:type="pct"/>
            <w:tcBorders>
              <w:top w:val="nil"/>
              <w:left w:val="nil"/>
              <w:bottom w:val="nil"/>
              <w:right w:val="nil"/>
            </w:tcBorders>
            <w:vAlign w:val="center"/>
          </w:tcPr>
          <w:p w14:paraId="13A145C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(1.15)</w:t>
            </w:r>
          </w:p>
        </w:tc>
      </w:tr>
      <w:tr w:rsidR="0089544F" w:rsidRPr="00263C50" w14:paraId="6C6C1073" w14:textId="77777777" w:rsidTr="005668E0">
        <w:trPr>
          <w:trHeight w:val="288"/>
          <w:jc w:val="center"/>
        </w:trPr>
        <w:tc>
          <w:tcPr>
            <w:tcW w:w="1820" w:type="pct"/>
            <w:tcBorders>
              <w:top w:val="nil"/>
              <w:left w:val="nil"/>
              <w:bottom w:val="nil"/>
              <w:right w:val="nil"/>
            </w:tcBorders>
            <w:shd w:val="clear" w:color="auto" w:fill="auto"/>
            <w:noWrap/>
            <w:vAlign w:val="center"/>
          </w:tcPr>
          <w:p w14:paraId="449C0829"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hAnsi="Times New Roman" w:cs="Times New Roman"/>
                <w:i/>
                <w:color w:val="000000"/>
                <w:sz w:val="20"/>
                <w:szCs w:val="20"/>
              </w:rPr>
              <w:t>Age</w:t>
            </w:r>
          </w:p>
        </w:tc>
        <w:tc>
          <w:tcPr>
            <w:tcW w:w="1591" w:type="pct"/>
            <w:tcBorders>
              <w:top w:val="nil"/>
              <w:left w:val="nil"/>
              <w:bottom w:val="nil"/>
              <w:right w:val="nil"/>
            </w:tcBorders>
            <w:shd w:val="clear" w:color="auto" w:fill="auto"/>
            <w:vAlign w:val="center"/>
          </w:tcPr>
          <w:p w14:paraId="30F1E56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0.049</w:t>
            </w:r>
          </w:p>
        </w:tc>
        <w:tc>
          <w:tcPr>
            <w:tcW w:w="1589" w:type="pct"/>
            <w:tcBorders>
              <w:top w:val="nil"/>
              <w:left w:val="nil"/>
              <w:bottom w:val="nil"/>
              <w:right w:val="nil"/>
            </w:tcBorders>
            <w:vAlign w:val="center"/>
          </w:tcPr>
          <w:p w14:paraId="4AF9CE4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-0.059</w:t>
            </w:r>
          </w:p>
        </w:tc>
      </w:tr>
      <w:tr w:rsidR="0089544F" w:rsidRPr="00263C50" w14:paraId="63AEA19B" w14:textId="77777777" w:rsidTr="005668E0">
        <w:trPr>
          <w:trHeight w:val="288"/>
          <w:jc w:val="center"/>
        </w:trPr>
        <w:tc>
          <w:tcPr>
            <w:tcW w:w="1820" w:type="pct"/>
            <w:tcBorders>
              <w:top w:val="nil"/>
              <w:left w:val="nil"/>
              <w:bottom w:val="nil"/>
              <w:right w:val="nil"/>
            </w:tcBorders>
            <w:shd w:val="clear" w:color="auto" w:fill="auto"/>
            <w:noWrap/>
            <w:vAlign w:val="center"/>
          </w:tcPr>
          <w:p w14:paraId="08BFF9A0"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91" w:type="pct"/>
            <w:tcBorders>
              <w:top w:val="nil"/>
              <w:left w:val="nil"/>
              <w:bottom w:val="nil"/>
              <w:right w:val="nil"/>
            </w:tcBorders>
            <w:shd w:val="clear" w:color="auto" w:fill="auto"/>
            <w:vAlign w:val="center"/>
          </w:tcPr>
          <w:p w14:paraId="47D82DB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(1.64)</w:t>
            </w:r>
          </w:p>
        </w:tc>
        <w:tc>
          <w:tcPr>
            <w:tcW w:w="1589" w:type="pct"/>
            <w:tcBorders>
              <w:top w:val="nil"/>
              <w:left w:val="nil"/>
              <w:bottom w:val="nil"/>
              <w:right w:val="nil"/>
            </w:tcBorders>
            <w:vAlign w:val="center"/>
          </w:tcPr>
          <w:p w14:paraId="4B5DAC7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(-0.62)</w:t>
            </w:r>
          </w:p>
        </w:tc>
      </w:tr>
      <w:tr w:rsidR="0089544F" w:rsidRPr="00263C50" w14:paraId="260CA025" w14:textId="77777777" w:rsidTr="005668E0">
        <w:trPr>
          <w:trHeight w:val="288"/>
          <w:jc w:val="center"/>
        </w:trPr>
        <w:tc>
          <w:tcPr>
            <w:tcW w:w="1820" w:type="pct"/>
            <w:tcBorders>
              <w:top w:val="nil"/>
              <w:left w:val="nil"/>
              <w:bottom w:val="nil"/>
              <w:right w:val="nil"/>
            </w:tcBorders>
            <w:shd w:val="clear" w:color="auto" w:fill="auto"/>
            <w:noWrap/>
            <w:vAlign w:val="center"/>
          </w:tcPr>
          <w:p w14:paraId="3D7A969E"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WrkExp</w:t>
            </w:r>
            <w:proofErr w:type="spellEnd"/>
          </w:p>
        </w:tc>
        <w:tc>
          <w:tcPr>
            <w:tcW w:w="1591" w:type="pct"/>
            <w:tcBorders>
              <w:top w:val="nil"/>
              <w:left w:val="nil"/>
              <w:bottom w:val="nil"/>
              <w:right w:val="nil"/>
            </w:tcBorders>
            <w:shd w:val="clear" w:color="auto" w:fill="auto"/>
            <w:vAlign w:val="center"/>
          </w:tcPr>
          <w:p w14:paraId="22F1070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-0.093**</w:t>
            </w:r>
          </w:p>
        </w:tc>
        <w:tc>
          <w:tcPr>
            <w:tcW w:w="1589" w:type="pct"/>
            <w:tcBorders>
              <w:top w:val="nil"/>
              <w:left w:val="nil"/>
              <w:bottom w:val="nil"/>
              <w:right w:val="nil"/>
            </w:tcBorders>
            <w:vAlign w:val="center"/>
          </w:tcPr>
          <w:p w14:paraId="13A7C3B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0.12</w:t>
            </w:r>
          </w:p>
        </w:tc>
      </w:tr>
      <w:tr w:rsidR="0089544F" w:rsidRPr="00263C50" w14:paraId="48411EE9" w14:textId="77777777" w:rsidTr="005668E0">
        <w:trPr>
          <w:trHeight w:val="288"/>
          <w:jc w:val="center"/>
        </w:trPr>
        <w:tc>
          <w:tcPr>
            <w:tcW w:w="1820" w:type="pct"/>
            <w:tcBorders>
              <w:top w:val="nil"/>
              <w:left w:val="nil"/>
              <w:bottom w:val="nil"/>
              <w:right w:val="nil"/>
            </w:tcBorders>
            <w:shd w:val="clear" w:color="auto" w:fill="auto"/>
            <w:noWrap/>
            <w:vAlign w:val="center"/>
          </w:tcPr>
          <w:p w14:paraId="4D6882A8"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91" w:type="pct"/>
            <w:tcBorders>
              <w:top w:val="nil"/>
              <w:left w:val="nil"/>
              <w:bottom w:val="nil"/>
              <w:right w:val="nil"/>
            </w:tcBorders>
            <w:shd w:val="clear" w:color="auto" w:fill="auto"/>
            <w:vAlign w:val="center"/>
          </w:tcPr>
          <w:p w14:paraId="3D69515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(-2.27)</w:t>
            </w:r>
          </w:p>
        </w:tc>
        <w:tc>
          <w:tcPr>
            <w:tcW w:w="1589" w:type="pct"/>
            <w:tcBorders>
              <w:top w:val="nil"/>
              <w:left w:val="nil"/>
              <w:bottom w:val="nil"/>
              <w:right w:val="nil"/>
            </w:tcBorders>
            <w:vAlign w:val="center"/>
          </w:tcPr>
          <w:p w14:paraId="0C62E03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(0.62)</w:t>
            </w:r>
          </w:p>
        </w:tc>
      </w:tr>
      <w:tr w:rsidR="0089544F" w:rsidRPr="00263C50" w14:paraId="5D7FB001" w14:textId="77777777" w:rsidTr="005668E0">
        <w:trPr>
          <w:trHeight w:val="288"/>
          <w:jc w:val="center"/>
        </w:trPr>
        <w:tc>
          <w:tcPr>
            <w:tcW w:w="1820" w:type="pct"/>
            <w:tcBorders>
              <w:top w:val="nil"/>
              <w:left w:val="nil"/>
              <w:bottom w:val="nil"/>
              <w:right w:val="nil"/>
            </w:tcBorders>
            <w:shd w:val="clear" w:color="auto" w:fill="auto"/>
            <w:noWrap/>
            <w:vAlign w:val="center"/>
          </w:tcPr>
          <w:p w14:paraId="054BA491"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PaperFile</w:t>
            </w:r>
            <w:proofErr w:type="spellEnd"/>
          </w:p>
        </w:tc>
        <w:tc>
          <w:tcPr>
            <w:tcW w:w="1591" w:type="pct"/>
            <w:tcBorders>
              <w:top w:val="nil"/>
              <w:left w:val="nil"/>
              <w:bottom w:val="nil"/>
              <w:right w:val="nil"/>
            </w:tcBorders>
            <w:shd w:val="clear" w:color="auto" w:fill="auto"/>
            <w:vAlign w:val="center"/>
          </w:tcPr>
          <w:p w14:paraId="41F512F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-0.031</w:t>
            </w:r>
          </w:p>
        </w:tc>
        <w:tc>
          <w:tcPr>
            <w:tcW w:w="1589" w:type="pct"/>
            <w:tcBorders>
              <w:top w:val="nil"/>
              <w:left w:val="nil"/>
              <w:bottom w:val="nil"/>
              <w:right w:val="nil"/>
            </w:tcBorders>
            <w:vAlign w:val="center"/>
          </w:tcPr>
          <w:p w14:paraId="71E446D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0.53***</w:t>
            </w:r>
          </w:p>
        </w:tc>
      </w:tr>
      <w:tr w:rsidR="0089544F" w:rsidRPr="00263C50" w14:paraId="163760DC" w14:textId="77777777" w:rsidTr="005668E0">
        <w:trPr>
          <w:trHeight w:val="288"/>
          <w:jc w:val="center"/>
        </w:trPr>
        <w:tc>
          <w:tcPr>
            <w:tcW w:w="1820" w:type="pct"/>
            <w:tcBorders>
              <w:top w:val="nil"/>
              <w:left w:val="nil"/>
              <w:bottom w:val="nil"/>
              <w:right w:val="nil"/>
            </w:tcBorders>
            <w:shd w:val="clear" w:color="auto" w:fill="auto"/>
            <w:noWrap/>
            <w:vAlign w:val="center"/>
          </w:tcPr>
          <w:p w14:paraId="068FEBDC"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91" w:type="pct"/>
            <w:tcBorders>
              <w:top w:val="nil"/>
              <w:left w:val="nil"/>
              <w:bottom w:val="nil"/>
              <w:right w:val="nil"/>
            </w:tcBorders>
            <w:shd w:val="clear" w:color="auto" w:fill="auto"/>
            <w:vAlign w:val="center"/>
          </w:tcPr>
          <w:p w14:paraId="5A58141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(-0.49)</w:t>
            </w:r>
          </w:p>
        </w:tc>
        <w:tc>
          <w:tcPr>
            <w:tcW w:w="1589" w:type="pct"/>
            <w:tcBorders>
              <w:top w:val="nil"/>
              <w:left w:val="nil"/>
              <w:bottom w:val="nil"/>
              <w:right w:val="nil"/>
            </w:tcBorders>
            <w:vAlign w:val="center"/>
          </w:tcPr>
          <w:p w14:paraId="00068C0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(3.23)</w:t>
            </w:r>
          </w:p>
        </w:tc>
      </w:tr>
      <w:tr w:rsidR="0089544F" w:rsidRPr="00263C50" w14:paraId="3CF1EABD" w14:textId="77777777" w:rsidTr="005668E0">
        <w:trPr>
          <w:trHeight w:val="288"/>
          <w:jc w:val="center"/>
        </w:trPr>
        <w:tc>
          <w:tcPr>
            <w:tcW w:w="1820" w:type="pct"/>
            <w:tcBorders>
              <w:top w:val="nil"/>
              <w:left w:val="nil"/>
              <w:bottom w:val="nil"/>
              <w:right w:val="nil"/>
            </w:tcBorders>
            <w:shd w:val="clear" w:color="auto" w:fill="auto"/>
            <w:noWrap/>
            <w:vAlign w:val="center"/>
          </w:tcPr>
          <w:p w14:paraId="658B89C0"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SoftwareFile</w:t>
            </w:r>
            <w:proofErr w:type="spellEnd"/>
          </w:p>
        </w:tc>
        <w:tc>
          <w:tcPr>
            <w:tcW w:w="1591" w:type="pct"/>
            <w:tcBorders>
              <w:top w:val="nil"/>
              <w:left w:val="nil"/>
              <w:bottom w:val="nil"/>
              <w:right w:val="nil"/>
            </w:tcBorders>
            <w:shd w:val="clear" w:color="auto" w:fill="auto"/>
            <w:vAlign w:val="center"/>
          </w:tcPr>
          <w:p w14:paraId="35306A3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0.096**</w:t>
            </w:r>
          </w:p>
        </w:tc>
        <w:tc>
          <w:tcPr>
            <w:tcW w:w="1589" w:type="pct"/>
            <w:tcBorders>
              <w:top w:val="nil"/>
              <w:left w:val="nil"/>
              <w:bottom w:val="nil"/>
              <w:right w:val="nil"/>
            </w:tcBorders>
            <w:vAlign w:val="center"/>
          </w:tcPr>
          <w:p w14:paraId="1D6814C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0.33**</w:t>
            </w:r>
          </w:p>
        </w:tc>
      </w:tr>
      <w:tr w:rsidR="0089544F" w:rsidRPr="00263C50" w14:paraId="217A75E4" w14:textId="77777777" w:rsidTr="005668E0">
        <w:trPr>
          <w:trHeight w:val="288"/>
          <w:jc w:val="center"/>
        </w:trPr>
        <w:tc>
          <w:tcPr>
            <w:tcW w:w="1820" w:type="pct"/>
            <w:tcBorders>
              <w:top w:val="nil"/>
              <w:left w:val="nil"/>
              <w:bottom w:val="nil"/>
              <w:right w:val="nil"/>
            </w:tcBorders>
            <w:shd w:val="clear" w:color="auto" w:fill="auto"/>
            <w:noWrap/>
            <w:vAlign w:val="center"/>
          </w:tcPr>
          <w:p w14:paraId="27C72356"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91" w:type="pct"/>
            <w:tcBorders>
              <w:top w:val="nil"/>
              <w:left w:val="nil"/>
              <w:bottom w:val="nil"/>
              <w:right w:val="nil"/>
            </w:tcBorders>
            <w:shd w:val="clear" w:color="auto" w:fill="auto"/>
            <w:vAlign w:val="center"/>
          </w:tcPr>
          <w:p w14:paraId="1DA3697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(1.99)</w:t>
            </w:r>
          </w:p>
        </w:tc>
        <w:tc>
          <w:tcPr>
            <w:tcW w:w="1589" w:type="pct"/>
            <w:tcBorders>
              <w:top w:val="nil"/>
              <w:left w:val="nil"/>
              <w:bottom w:val="nil"/>
              <w:right w:val="nil"/>
            </w:tcBorders>
            <w:vAlign w:val="center"/>
          </w:tcPr>
          <w:p w14:paraId="2110EDA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(2.24)</w:t>
            </w:r>
          </w:p>
        </w:tc>
      </w:tr>
      <w:tr w:rsidR="0089544F" w:rsidRPr="00263C50" w14:paraId="2483B850" w14:textId="77777777" w:rsidTr="005668E0">
        <w:trPr>
          <w:trHeight w:val="288"/>
          <w:jc w:val="center"/>
        </w:trPr>
        <w:tc>
          <w:tcPr>
            <w:tcW w:w="1820" w:type="pct"/>
            <w:tcBorders>
              <w:top w:val="nil"/>
              <w:left w:val="nil"/>
              <w:bottom w:val="nil"/>
              <w:right w:val="nil"/>
            </w:tcBorders>
            <w:shd w:val="clear" w:color="auto" w:fill="auto"/>
            <w:noWrap/>
            <w:vAlign w:val="center"/>
          </w:tcPr>
          <w:p w14:paraId="72096B37"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ProfFile</w:t>
            </w:r>
            <w:proofErr w:type="spellEnd"/>
          </w:p>
        </w:tc>
        <w:tc>
          <w:tcPr>
            <w:tcW w:w="1591" w:type="pct"/>
            <w:tcBorders>
              <w:top w:val="nil"/>
              <w:left w:val="nil"/>
              <w:bottom w:val="nil"/>
              <w:right w:val="nil"/>
            </w:tcBorders>
            <w:shd w:val="clear" w:color="auto" w:fill="auto"/>
            <w:vAlign w:val="center"/>
          </w:tcPr>
          <w:p w14:paraId="6E63107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0.017</w:t>
            </w:r>
          </w:p>
        </w:tc>
        <w:tc>
          <w:tcPr>
            <w:tcW w:w="1589" w:type="pct"/>
            <w:tcBorders>
              <w:top w:val="nil"/>
              <w:left w:val="nil"/>
              <w:bottom w:val="nil"/>
              <w:right w:val="nil"/>
            </w:tcBorders>
            <w:vAlign w:val="center"/>
          </w:tcPr>
          <w:p w14:paraId="697ABBC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-0.011</w:t>
            </w:r>
          </w:p>
        </w:tc>
      </w:tr>
      <w:tr w:rsidR="0089544F" w:rsidRPr="00263C50" w14:paraId="2BE471BA" w14:textId="77777777" w:rsidTr="005668E0">
        <w:trPr>
          <w:trHeight w:val="288"/>
          <w:jc w:val="center"/>
        </w:trPr>
        <w:tc>
          <w:tcPr>
            <w:tcW w:w="1820" w:type="pct"/>
            <w:tcBorders>
              <w:top w:val="nil"/>
              <w:left w:val="nil"/>
              <w:bottom w:val="nil"/>
              <w:right w:val="nil"/>
            </w:tcBorders>
            <w:shd w:val="clear" w:color="auto" w:fill="auto"/>
            <w:noWrap/>
            <w:vAlign w:val="center"/>
          </w:tcPr>
          <w:p w14:paraId="6C428CCF"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91" w:type="pct"/>
            <w:tcBorders>
              <w:top w:val="nil"/>
              <w:left w:val="nil"/>
              <w:bottom w:val="nil"/>
              <w:right w:val="nil"/>
            </w:tcBorders>
            <w:shd w:val="clear" w:color="auto" w:fill="auto"/>
            <w:vAlign w:val="center"/>
          </w:tcPr>
          <w:p w14:paraId="5020C06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(0.26)</w:t>
            </w:r>
          </w:p>
        </w:tc>
        <w:tc>
          <w:tcPr>
            <w:tcW w:w="1589" w:type="pct"/>
            <w:tcBorders>
              <w:top w:val="nil"/>
              <w:left w:val="nil"/>
              <w:bottom w:val="nil"/>
              <w:right w:val="nil"/>
            </w:tcBorders>
            <w:vAlign w:val="center"/>
          </w:tcPr>
          <w:p w14:paraId="1383371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(-0.060)</w:t>
            </w:r>
          </w:p>
        </w:tc>
      </w:tr>
      <w:tr w:rsidR="0089544F" w:rsidRPr="00263C50" w14:paraId="216BBA54" w14:textId="77777777" w:rsidTr="005668E0">
        <w:trPr>
          <w:trHeight w:val="288"/>
          <w:jc w:val="center"/>
        </w:trPr>
        <w:tc>
          <w:tcPr>
            <w:tcW w:w="1820" w:type="pct"/>
            <w:tcBorders>
              <w:top w:val="nil"/>
              <w:left w:val="nil"/>
              <w:bottom w:val="nil"/>
              <w:right w:val="nil"/>
            </w:tcBorders>
            <w:shd w:val="clear" w:color="auto" w:fill="auto"/>
            <w:noWrap/>
            <w:vAlign w:val="center"/>
          </w:tcPr>
          <w:p w14:paraId="75EBAB48"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ParentFile</w:t>
            </w:r>
            <w:proofErr w:type="spellEnd"/>
          </w:p>
        </w:tc>
        <w:tc>
          <w:tcPr>
            <w:tcW w:w="1591" w:type="pct"/>
            <w:tcBorders>
              <w:top w:val="nil"/>
              <w:left w:val="nil"/>
              <w:bottom w:val="nil"/>
              <w:right w:val="nil"/>
            </w:tcBorders>
            <w:shd w:val="clear" w:color="auto" w:fill="auto"/>
            <w:vAlign w:val="center"/>
          </w:tcPr>
          <w:p w14:paraId="6D16EAA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0.053</w:t>
            </w:r>
          </w:p>
        </w:tc>
        <w:tc>
          <w:tcPr>
            <w:tcW w:w="1589" w:type="pct"/>
            <w:tcBorders>
              <w:top w:val="nil"/>
              <w:left w:val="nil"/>
              <w:bottom w:val="nil"/>
              <w:right w:val="nil"/>
            </w:tcBorders>
            <w:vAlign w:val="center"/>
          </w:tcPr>
          <w:p w14:paraId="23341DE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-0.0040</w:t>
            </w:r>
          </w:p>
        </w:tc>
      </w:tr>
      <w:tr w:rsidR="0089544F" w:rsidRPr="00263C50" w14:paraId="30782C3A" w14:textId="77777777" w:rsidTr="005668E0">
        <w:trPr>
          <w:trHeight w:val="288"/>
          <w:jc w:val="center"/>
        </w:trPr>
        <w:tc>
          <w:tcPr>
            <w:tcW w:w="1820" w:type="pct"/>
            <w:tcBorders>
              <w:top w:val="nil"/>
              <w:left w:val="nil"/>
              <w:bottom w:val="nil"/>
              <w:right w:val="nil"/>
            </w:tcBorders>
            <w:shd w:val="clear" w:color="auto" w:fill="auto"/>
            <w:noWrap/>
            <w:vAlign w:val="center"/>
          </w:tcPr>
          <w:p w14:paraId="3CD7DDB7"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91" w:type="pct"/>
            <w:tcBorders>
              <w:top w:val="nil"/>
              <w:left w:val="nil"/>
              <w:bottom w:val="nil"/>
              <w:right w:val="nil"/>
            </w:tcBorders>
            <w:shd w:val="clear" w:color="auto" w:fill="auto"/>
            <w:vAlign w:val="center"/>
          </w:tcPr>
          <w:p w14:paraId="40618DF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(1.30)</w:t>
            </w:r>
          </w:p>
        </w:tc>
        <w:tc>
          <w:tcPr>
            <w:tcW w:w="1589" w:type="pct"/>
            <w:tcBorders>
              <w:top w:val="nil"/>
              <w:left w:val="nil"/>
              <w:bottom w:val="nil"/>
              <w:right w:val="nil"/>
            </w:tcBorders>
            <w:vAlign w:val="center"/>
          </w:tcPr>
          <w:p w14:paraId="799050C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(-0.026)</w:t>
            </w:r>
          </w:p>
        </w:tc>
      </w:tr>
      <w:tr w:rsidR="0089544F" w:rsidRPr="00263C50" w14:paraId="633D74AD" w14:textId="77777777" w:rsidTr="005668E0">
        <w:trPr>
          <w:trHeight w:val="288"/>
          <w:jc w:val="center"/>
        </w:trPr>
        <w:tc>
          <w:tcPr>
            <w:tcW w:w="1820" w:type="pct"/>
            <w:tcBorders>
              <w:top w:val="nil"/>
              <w:left w:val="nil"/>
              <w:bottom w:val="nil"/>
              <w:right w:val="nil"/>
            </w:tcBorders>
            <w:shd w:val="clear" w:color="auto" w:fill="auto"/>
            <w:noWrap/>
            <w:vAlign w:val="center"/>
          </w:tcPr>
          <w:p w14:paraId="0D4574A1"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hAnsi="Times New Roman" w:cs="Times New Roman"/>
                <w:i/>
                <w:color w:val="000000"/>
                <w:sz w:val="20"/>
                <w:szCs w:val="20"/>
              </w:rPr>
              <w:t>Family</w:t>
            </w:r>
          </w:p>
        </w:tc>
        <w:tc>
          <w:tcPr>
            <w:tcW w:w="1591" w:type="pct"/>
            <w:tcBorders>
              <w:top w:val="nil"/>
              <w:left w:val="nil"/>
              <w:bottom w:val="nil"/>
              <w:right w:val="nil"/>
            </w:tcBorders>
            <w:shd w:val="clear" w:color="auto" w:fill="auto"/>
            <w:vAlign w:val="center"/>
          </w:tcPr>
          <w:p w14:paraId="3C9809D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0.062</w:t>
            </w:r>
          </w:p>
        </w:tc>
        <w:tc>
          <w:tcPr>
            <w:tcW w:w="1589" w:type="pct"/>
            <w:tcBorders>
              <w:top w:val="nil"/>
              <w:left w:val="nil"/>
              <w:bottom w:val="nil"/>
              <w:right w:val="nil"/>
            </w:tcBorders>
            <w:vAlign w:val="center"/>
          </w:tcPr>
          <w:p w14:paraId="2FBF917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-0.13</w:t>
            </w:r>
          </w:p>
        </w:tc>
      </w:tr>
      <w:tr w:rsidR="0089544F" w:rsidRPr="00263C50" w14:paraId="1FD55449" w14:textId="77777777" w:rsidTr="005668E0">
        <w:trPr>
          <w:trHeight w:val="288"/>
          <w:jc w:val="center"/>
        </w:trPr>
        <w:tc>
          <w:tcPr>
            <w:tcW w:w="1820" w:type="pct"/>
            <w:tcBorders>
              <w:top w:val="nil"/>
              <w:left w:val="nil"/>
              <w:bottom w:val="nil"/>
              <w:right w:val="nil"/>
            </w:tcBorders>
            <w:shd w:val="clear" w:color="auto" w:fill="auto"/>
            <w:noWrap/>
            <w:vAlign w:val="center"/>
          </w:tcPr>
          <w:p w14:paraId="47B1EBE3"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91" w:type="pct"/>
            <w:tcBorders>
              <w:top w:val="nil"/>
              <w:left w:val="nil"/>
              <w:bottom w:val="nil"/>
              <w:right w:val="nil"/>
            </w:tcBorders>
            <w:shd w:val="clear" w:color="auto" w:fill="auto"/>
            <w:vAlign w:val="center"/>
          </w:tcPr>
          <w:p w14:paraId="0FB3318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(1.15)</w:t>
            </w:r>
          </w:p>
        </w:tc>
        <w:tc>
          <w:tcPr>
            <w:tcW w:w="1589" w:type="pct"/>
            <w:tcBorders>
              <w:top w:val="nil"/>
              <w:left w:val="nil"/>
              <w:bottom w:val="nil"/>
              <w:right w:val="nil"/>
            </w:tcBorders>
            <w:vAlign w:val="center"/>
          </w:tcPr>
          <w:p w14:paraId="68805F4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(-0.82)</w:t>
            </w:r>
          </w:p>
        </w:tc>
      </w:tr>
      <w:tr w:rsidR="0089544F" w:rsidRPr="00263C50" w14:paraId="5BEF8C9D" w14:textId="77777777" w:rsidTr="005668E0">
        <w:trPr>
          <w:trHeight w:val="288"/>
          <w:jc w:val="center"/>
        </w:trPr>
        <w:tc>
          <w:tcPr>
            <w:tcW w:w="1820" w:type="pct"/>
            <w:tcBorders>
              <w:top w:val="nil"/>
              <w:left w:val="nil"/>
              <w:bottom w:val="nil"/>
              <w:right w:val="nil"/>
            </w:tcBorders>
            <w:shd w:val="clear" w:color="auto" w:fill="auto"/>
            <w:noWrap/>
            <w:vAlign w:val="center"/>
          </w:tcPr>
          <w:p w14:paraId="560F2E4A"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FinExp</w:t>
            </w:r>
            <w:proofErr w:type="spellEnd"/>
          </w:p>
        </w:tc>
        <w:tc>
          <w:tcPr>
            <w:tcW w:w="1591" w:type="pct"/>
            <w:tcBorders>
              <w:top w:val="nil"/>
              <w:left w:val="nil"/>
              <w:bottom w:val="nil"/>
              <w:right w:val="nil"/>
            </w:tcBorders>
            <w:shd w:val="clear" w:color="auto" w:fill="auto"/>
            <w:vAlign w:val="center"/>
          </w:tcPr>
          <w:p w14:paraId="1F6FA87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0.31***</w:t>
            </w:r>
          </w:p>
        </w:tc>
        <w:tc>
          <w:tcPr>
            <w:tcW w:w="1589" w:type="pct"/>
            <w:tcBorders>
              <w:top w:val="nil"/>
              <w:left w:val="nil"/>
              <w:bottom w:val="nil"/>
              <w:right w:val="nil"/>
            </w:tcBorders>
            <w:vAlign w:val="center"/>
          </w:tcPr>
          <w:p w14:paraId="199DF5E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-0.56</w:t>
            </w:r>
          </w:p>
        </w:tc>
      </w:tr>
      <w:tr w:rsidR="0089544F" w:rsidRPr="00263C50" w14:paraId="0E2AE3DE" w14:textId="77777777" w:rsidTr="005668E0">
        <w:trPr>
          <w:trHeight w:val="288"/>
          <w:jc w:val="center"/>
        </w:trPr>
        <w:tc>
          <w:tcPr>
            <w:tcW w:w="1820" w:type="pct"/>
            <w:tcBorders>
              <w:top w:val="nil"/>
              <w:left w:val="nil"/>
              <w:bottom w:val="nil"/>
              <w:right w:val="nil"/>
            </w:tcBorders>
            <w:shd w:val="clear" w:color="auto" w:fill="auto"/>
            <w:noWrap/>
            <w:vAlign w:val="center"/>
          </w:tcPr>
          <w:p w14:paraId="0FF239E1"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91" w:type="pct"/>
            <w:tcBorders>
              <w:top w:val="nil"/>
              <w:left w:val="nil"/>
              <w:bottom w:val="nil"/>
              <w:right w:val="nil"/>
            </w:tcBorders>
            <w:shd w:val="clear" w:color="auto" w:fill="auto"/>
            <w:vAlign w:val="center"/>
          </w:tcPr>
          <w:p w14:paraId="5AA3343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(5.64)</w:t>
            </w:r>
          </w:p>
        </w:tc>
        <w:tc>
          <w:tcPr>
            <w:tcW w:w="1589" w:type="pct"/>
            <w:tcBorders>
              <w:top w:val="nil"/>
              <w:left w:val="nil"/>
              <w:bottom w:val="nil"/>
              <w:right w:val="nil"/>
            </w:tcBorders>
            <w:vAlign w:val="center"/>
          </w:tcPr>
          <w:p w14:paraId="42172D1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(-1.22)</w:t>
            </w:r>
          </w:p>
        </w:tc>
      </w:tr>
      <w:tr w:rsidR="0089544F" w:rsidRPr="00263C50" w14:paraId="7F2546EE" w14:textId="77777777" w:rsidTr="005668E0">
        <w:trPr>
          <w:trHeight w:val="288"/>
          <w:jc w:val="center"/>
        </w:trPr>
        <w:tc>
          <w:tcPr>
            <w:tcW w:w="1820" w:type="pct"/>
            <w:tcBorders>
              <w:top w:val="nil"/>
              <w:left w:val="nil"/>
              <w:bottom w:val="nil"/>
              <w:right w:val="nil"/>
            </w:tcBorders>
            <w:shd w:val="clear" w:color="auto" w:fill="auto"/>
            <w:noWrap/>
            <w:vAlign w:val="center"/>
          </w:tcPr>
          <w:p w14:paraId="1E747AD1"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hAnsi="Times New Roman" w:cs="Times New Roman"/>
                <w:i/>
                <w:color w:val="000000"/>
                <w:sz w:val="20"/>
                <w:szCs w:val="20"/>
              </w:rPr>
              <w:t>Income</w:t>
            </w:r>
          </w:p>
        </w:tc>
        <w:tc>
          <w:tcPr>
            <w:tcW w:w="1591" w:type="pct"/>
            <w:tcBorders>
              <w:top w:val="nil"/>
              <w:left w:val="nil"/>
              <w:bottom w:val="nil"/>
              <w:right w:val="nil"/>
            </w:tcBorders>
            <w:shd w:val="clear" w:color="auto" w:fill="auto"/>
            <w:vAlign w:val="center"/>
          </w:tcPr>
          <w:p w14:paraId="75985C1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-0.0089</w:t>
            </w:r>
          </w:p>
        </w:tc>
        <w:tc>
          <w:tcPr>
            <w:tcW w:w="1589" w:type="pct"/>
            <w:tcBorders>
              <w:top w:val="nil"/>
              <w:left w:val="nil"/>
              <w:bottom w:val="nil"/>
              <w:right w:val="nil"/>
            </w:tcBorders>
            <w:vAlign w:val="center"/>
          </w:tcPr>
          <w:p w14:paraId="7112F3F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-0.042</w:t>
            </w:r>
          </w:p>
        </w:tc>
      </w:tr>
      <w:tr w:rsidR="0089544F" w:rsidRPr="00263C50" w14:paraId="2D891C80" w14:textId="77777777" w:rsidTr="005668E0">
        <w:trPr>
          <w:trHeight w:val="288"/>
          <w:jc w:val="center"/>
        </w:trPr>
        <w:tc>
          <w:tcPr>
            <w:tcW w:w="1820" w:type="pct"/>
            <w:tcBorders>
              <w:top w:val="nil"/>
              <w:left w:val="nil"/>
              <w:bottom w:val="nil"/>
              <w:right w:val="nil"/>
            </w:tcBorders>
            <w:shd w:val="clear" w:color="auto" w:fill="auto"/>
            <w:noWrap/>
            <w:vAlign w:val="center"/>
          </w:tcPr>
          <w:p w14:paraId="541F0555"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1591" w:type="pct"/>
            <w:tcBorders>
              <w:top w:val="nil"/>
              <w:left w:val="nil"/>
              <w:bottom w:val="nil"/>
              <w:right w:val="nil"/>
            </w:tcBorders>
            <w:shd w:val="clear" w:color="auto" w:fill="auto"/>
            <w:vAlign w:val="center"/>
          </w:tcPr>
          <w:p w14:paraId="451C64D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(-0.55)</w:t>
            </w:r>
          </w:p>
        </w:tc>
        <w:tc>
          <w:tcPr>
            <w:tcW w:w="1589" w:type="pct"/>
            <w:tcBorders>
              <w:top w:val="nil"/>
              <w:left w:val="nil"/>
              <w:bottom w:val="nil"/>
              <w:right w:val="nil"/>
            </w:tcBorders>
            <w:vAlign w:val="center"/>
          </w:tcPr>
          <w:p w14:paraId="6D56946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(-0.71)</w:t>
            </w:r>
          </w:p>
        </w:tc>
      </w:tr>
      <w:tr w:rsidR="0089544F" w:rsidRPr="00263C50" w14:paraId="40AE8134" w14:textId="77777777" w:rsidTr="005668E0">
        <w:trPr>
          <w:trHeight w:val="288"/>
          <w:jc w:val="center"/>
        </w:trPr>
        <w:tc>
          <w:tcPr>
            <w:tcW w:w="1820" w:type="pct"/>
            <w:tcBorders>
              <w:top w:val="nil"/>
              <w:left w:val="nil"/>
              <w:bottom w:val="nil"/>
              <w:right w:val="nil"/>
            </w:tcBorders>
            <w:shd w:val="clear" w:color="auto" w:fill="auto"/>
            <w:noWrap/>
            <w:vAlign w:val="center"/>
            <w:hideMark/>
          </w:tcPr>
          <w:p w14:paraId="00171A91"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i/>
                <w:color w:val="000000"/>
                <w:sz w:val="20"/>
                <w:szCs w:val="20"/>
                <w:lang w:val="en-US" w:eastAsia="zh-TW"/>
              </w:rPr>
              <w:t>Constant</w:t>
            </w:r>
          </w:p>
        </w:tc>
        <w:tc>
          <w:tcPr>
            <w:tcW w:w="1591" w:type="pct"/>
            <w:tcBorders>
              <w:top w:val="nil"/>
              <w:left w:val="nil"/>
              <w:bottom w:val="nil"/>
              <w:right w:val="nil"/>
            </w:tcBorders>
            <w:shd w:val="clear" w:color="auto" w:fill="auto"/>
            <w:vAlign w:val="center"/>
          </w:tcPr>
          <w:p w14:paraId="1162EBC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-0.14*</w:t>
            </w:r>
          </w:p>
        </w:tc>
        <w:tc>
          <w:tcPr>
            <w:tcW w:w="1589" w:type="pct"/>
            <w:tcBorders>
              <w:top w:val="nil"/>
              <w:left w:val="nil"/>
              <w:bottom w:val="nil"/>
              <w:right w:val="nil"/>
            </w:tcBorders>
            <w:shd w:val="clear" w:color="auto" w:fill="auto"/>
            <w:vAlign w:val="center"/>
          </w:tcPr>
          <w:p w14:paraId="1AFB95C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1.11**</w:t>
            </w:r>
          </w:p>
        </w:tc>
      </w:tr>
      <w:tr w:rsidR="0089544F" w:rsidRPr="00263C50" w14:paraId="199C3E69" w14:textId="77777777" w:rsidTr="005668E0">
        <w:trPr>
          <w:trHeight w:val="288"/>
          <w:jc w:val="center"/>
        </w:trPr>
        <w:tc>
          <w:tcPr>
            <w:tcW w:w="1820" w:type="pct"/>
            <w:tcBorders>
              <w:top w:val="nil"/>
              <w:left w:val="nil"/>
              <w:bottom w:val="nil"/>
              <w:right w:val="nil"/>
            </w:tcBorders>
            <w:shd w:val="clear" w:color="auto" w:fill="auto"/>
            <w:noWrap/>
            <w:vAlign w:val="center"/>
            <w:hideMark/>
          </w:tcPr>
          <w:p w14:paraId="019F8435" w14:textId="77777777" w:rsidR="0089544F" w:rsidRPr="00263C50" w:rsidRDefault="0089544F" w:rsidP="00186583">
            <w:pPr>
              <w:rPr>
                <w:rFonts w:ascii="Times New Roman" w:eastAsia="Times New Roman" w:hAnsi="Times New Roman" w:cs="Times New Roman"/>
                <w:color w:val="000000"/>
                <w:sz w:val="20"/>
                <w:szCs w:val="20"/>
                <w:lang w:val="en-US" w:eastAsia="zh-TW"/>
              </w:rPr>
            </w:pPr>
          </w:p>
        </w:tc>
        <w:tc>
          <w:tcPr>
            <w:tcW w:w="1591" w:type="pct"/>
            <w:tcBorders>
              <w:top w:val="nil"/>
              <w:left w:val="nil"/>
              <w:bottom w:val="nil"/>
              <w:right w:val="nil"/>
            </w:tcBorders>
            <w:shd w:val="clear" w:color="auto" w:fill="auto"/>
            <w:vAlign w:val="center"/>
          </w:tcPr>
          <w:p w14:paraId="5F9F905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(-1.72)</w:t>
            </w:r>
          </w:p>
        </w:tc>
        <w:tc>
          <w:tcPr>
            <w:tcW w:w="1589" w:type="pct"/>
            <w:tcBorders>
              <w:top w:val="nil"/>
              <w:left w:val="nil"/>
              <w:bottom w:val="nil"/>
              <w:right w:val="nil"/>
            </w:tcBorders>
            <w:shd w:val="clear" w:color="auto" w:fill="auto"/>
            <w:vAlign w:val="center"/>
          </w:tcPr>
          <w:p w14:paraId="07711E1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(2.27)</w:t>
            </w:r>
          </w:p>
        </w:tc>
      </w:tr>
      <w:tr w:rsidR="0089544F" w:rsidRPr="00263C50" w14:paraId="28B488AB" w14:textId="77777777" w:rsidTr="005668E0">
        <w:trPr>
          <w:trHeight w:val="288"/>
          <w:jc w:val="center"/>
        </w:trPr>
        <w:tc>
          <w:tcPr>
            <w:tcW w:w="1820" w:type="pct"/>
            <w:tcBorders>
              <w:top w:val="nil"/>
              <w:left w:val="nil"/>
              <w:right w:val="nil"/>
            </w:tcBorders>
            <w:shd w:val="clear" w:color="auto" w:fill="auto"/>
            <w:noWrap/>
            <w:vAlign w:val="center"/>
            <w:hideMark/>
          </w:tcPr>
          <w:p w14:paraId="1A1304C2" w14:textId="77777777" w:rsidR="0089544F" w:rsidRPr="00263C50" w:rsidRDefault="0089544F" w:rsidP="00186583">
            <w:pPr>
              <w:rPr>
                <w:rFonts w:ascii="Times New Roman" w:eastAsia="Times New Roman" w:hAnsi="Times New Roman" w:cs="Times New Roman"/>
                <w:color w:val="000000"/>
                <w:sz w:val="20"/>
                <w:szCs w:val="20"/>
                <w:lang w:val="en-US" w:eastAsia="zh-TW"/>
              </w:rPr>
            </w:pPr>
          </w:p>
        </w:tc>
        <w:tc>
          <w:tcPr>
            <w:tcW w:w="1591" w:type="pct"/>
            <w:tcBorders>
              <w:top w:val="nil"/>
              <w:left w:val="nil"/>
              <w:right w:val="nil"/>
            </w:tcBorders>
            <w:vAlign w:val="center"/>
          </w:tcPr>
          <w:p w14:paraId="66AA4C4F" w14:textId="77777777" w:rsidR="0089544F" w:rsidRPr="00263C50" w:rsidRDefault="0089544F" w:rsidP="00186583">
            <w:pPr>
              <w:jc w:val="center"/>
              <w:rPr>
                <w:rFonts w:ascii="Times New Roman" w:eastAsia="Times New Roman" w:hAnsi="Times New Roman" w:cs="Times New Roman"/>
                <w:sz w:val="20"/>
                <w:szCs w:val="20"/>
                <w:lang w:val="en-US" w:eastAsia="zh-TW"/>
              </w:rPr>
            </w:pPr>
          </w:p>
        </w:tc>
        <w:tc>
          <w:tcPr>
            <w:tcW w:w="1589" w:type="pct"/>
            <w:tcBorders>
              <w:top w:val="nil"/>
              <w:left w:val="nil"/>
              <w:right w:val="nil"/>
            </w:tcBorders>
            <w:vAlign w:val="center"/>
          </w:tcPr>
          <w:p w14:paraId="2E3E57A1" w14:textId="77777777" w:rsidR="0089544F" w:rsidRPr="00263C50" w:rsidRDefault="0089544F" w:rsidP="00186583">
            <w:pPr>
              <w:jc w:val="center"/>
              <w:rPr>
                <w:rFonts w:ascii="Times New Roman" w:eastAsia="Times New Roman" w:hAnsi="Times New Roman" w:cs="Times New Roman"/>
                <w:sz w:val="20"/>
                <w:szCs w:val="20"/>
                <w:lang w:val="en-US" w:eastAsia="zh-TW"/>
              </w:rPr>
            </w:pPr>
          </w:p>
        </w:tc>
      </w:tr>
      <w:tr w:rsidR="0089544F" w:rsidRPr="00263C50" w14:paraId="5828D6EA" w14:textId="77777777" w:rsidTr="005668E0">
        <w:trPr>
          <w:trHeight w:val="288"/>
          <w:jc w:val="center"/>
        </w:trPr>
        <w:tc>
          <w:tcPr>
            <w:tcW w:w="1820" w:type="pct"/>
            <w:tcBorders>
              <w:top w:val="nil"/>
              <w:left w:val="nil"/>
              <w:bottom w:val="single" w:sz="4" w:space="0" w:color="auto"/>
              <w:right w:val="nil"/>
            </w:tcBorders>
            <w:shd w:val="clear" w:color="auto" w:fill="auto"/>
            <w:noWrap/>
            <w:vAlign w:val="center"/>
            <w:hideMark/>
          </w:tcPr>
          <w:p w14:paraId="30EBBF0B" w14:textId="77777777" w:rsidR="0089544F" w:rsidRPr="00263C50" w:rsidRDefault="0089544F" w:rsidP="00186583">
            <w:pP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No. of Obs.</w:t>
            </w:r>
          </w:p>
        </w:tc>
        <w:tc>
          <w:tcPr>
            <w:tcW w:w="1591" w:type="pct"/>
            <w:tcBorders>
              <w:top w:val="nil"/>
              <w:left w:val="nil"/>
              <w:bottom w:val="single" w:sz="4" w:space="0" w:color="auto"/>
              <w:right w:val="nil"/>
            </w:tcBorders>
            <w:vAlign w:val="center"/>
          </w:tcPr>
          <w:p w14:paraId="5F0CE84E" w14:textId="77777777" w:rsidR="0089544F" w:rsidRPr="00263C50" w:rsidRDefault="0089544F" w:rsidP="00186583">
            <w:pPr>
              <w:jc w:val="center"/>
              <w:rPr>
                <w:rFonts w:ascii="Times New Roman" w:eastAsia="Times New Roman" w:hAnsi="Times New Roman" w:cs="Times New Roman"/>
                <w:color w:val="000000" w:themeColor="text1"/>
                <w:sz w:val="20"/>
                <w:szCs w:val="20"/>
                <w:lang w:val="en-US" w:eastAsia="zh-TW"/>
              </w:rPr>
            </w:pPr>
            <w:r w:rsidRPr="00263C50">
              <w:rPr>
                <w:rFonts w:ascii="Times New Roman" w:eastAsia="Times New Roman" w:hAnsi="Times New Roman" w:cs="Times New Roman"/>
                <w:color w:val="000000"/>
                <w:sz w:val="20"/>
                <w:szCs w:val="20"/>
                <w:lang w:val="en-US" w:eastAsia="zh-TW"/>
              </w:rPr>
              <w:t>109</w:t>
            </w:r>
          </w:p>
        </w:tc>
        <w:tc>
          <w:tcPr>
            <w:tcW w:w="1589" w:type="pct"/>
            <w:tcBorders>
              <w:top w:val="nil"/>
              <w:left w:val="nil"/>
              <w:bottom w:val="single" w:sz="4" w:space="0" w:color="auto"/>
              <w:right w:val="nil"/>
            </w:tcBorders>
            <w:vAlign w:val="center"/>
          </w:tcPr>
          <w:p w14:paraId="0D38D3FA" w14:textId="77777777" w:rsidR="0089544F" w:rsidRPr="00263C50" w:rsidRDefault="0089544F" w:rsidP="00186583">
            <w:pPr>
              <w:jc w:val="center"/>
              <w:rPr>
                <w:rFonts w:ascii="Times New Roman" w:eastAsia="Times New Roman" w:hAnsi="Times New Roman" w:cs="Times New Roman"/>
                <w:color w:val="000000" w:themeColor="text1"/>
                <w:sz w:val="20"/>
                <w:szCs w:val="20"/>
                <w:lang w:val="en-US" w:eastAsia="zh-TW"/>
              </w:rPr>
            </w:pPr>
            <w:r w:rsidRPr="00263C50">
              <w:rPr>
                <w:rFonts w:ascii="Times New Roman" w:eastAsia="Times New Roman" w:hAnsi="Times New Roman" w:cs="Times New Roman"/>
                <w:color w:val="000000"/>
                <w:sz w:val="20"/>
                <w:szCs w:val="20"/>
                <w:lang w:val="en-US" w:eastAsia="zh-TW"/>
              </w:rPr>
              <w:t>109</w:t>
            </w:r>
          </w:p>
        </w:tc>
      </w:tr>
    </w:tbl>
    <w:p w14:paraId="031943DD" w14:textId="77777777" w:rsidR="00263C50" w:rsidRDefault="00263C50" w:rsidP="00186583">
      <w:pPr>
        <w:rPr>
          <w:rFonts w:ascii="Times New Roman" w:hAnsi="Times New Roman" w:cs="Times New Roman"/>
          <w:sz w:val="20"/>
          <w:szCs w:val="20"/>
          <w:lang w:val="en-US"/>
        </w:rPr>
      </w:pPr>
    </w:p>
    <w:p w14:paraId="35D5FAC7" w14:textId="77777777" w:rsidR="00263C50" w:rsidRPr="00263C50" w:rsidRDefault="00263C50" w:rsidP="00186583">
      <w:pPr>
        <w:rPr>
          <w:rFonts w:ascii="Times New Roman" w:hAnsi="Times New Roman" w:cs="Times New Roman"/>
          <w:sz w:val="20"/>
          <w:szCs w:val="20"/>
          <w:lang w:val="en-US"/>
        </w:rPr>
        <w:sectPr w:rsidR="00263C50" w:rsidRPr="00263C50" w:rsidSect="00CA4B1F">
          <w:pgSz w:w="12240" w:h="15840"/>
          <w:pgMar w:top="1440" w:right="1440" w:bottom="1440" w:left="1440" w:header="720" w:footer="720" w:gutter="0"/>
          <w:cols w:space="720"/>
          <w:docGrid w:linePitch="360"/>
        </w:sectPr>
      </w:pPr>
    </w:p>
    <w:p w14:paraId="0C5C0BB3" w14:textId="77777777" w:rsidR="0089544F" w:rsidRPr="00263C50" w:rsidRDefault="0089544F" w:rsidP="00186583">
      <w:pPr>
        <w:rPr>
          <w:rFonts w:ascii="Times New Roman" w:hAnsi="Times New Roman" w:cs="Times New Roman"/>
          <w:b/>
          <w:sz w:val="20"/>
          <w:szCs w:val="20"/>
          <w:lang w:val="en-US"/>
        </w:rPr>
      </w:pPr>
      <w:r w:rsidRPr="00263C50">
        <w:rPr>
          <w:rFonts w:ascii="Times New Roman" w:hAnsi="Times New Roman" w:cs="Times New Roman"/>
          <w:b/>
          <w:sz w:val="20"/>
          <w:szCs w:val="20"/>
          <w:lang w:val="en-US"/>
        </w:rPr>
        <w:lastRenderedPageBreak/>
        <w:t>Table 9 The impact of accounting and tax education on Tax Literacy/Tax Confidence, alternative regression methods</w:t>
      </w:r>
    </w:p>
    <w:p w14:paraId="42398654" w14:textId="77777777" w:rsidR="0089544F" w:rsidRPr="00263C50" w:rsidRDefault="0089544F" w:rsidP="00263C50">
      <w:pPr>
        <w:rPr>
          <w:rFonts w:ascii="Times New Roman" w:hAnsi="Times New Roman" w:cs="Times New Roman"/>
          <w:b/>
          <w:sz w:val="20"/>
          <w:szCs w:val="20"/>
          <w:lang w:val="en-US"/>
        </w:rPr>
      </w:pPr>
    </w:p>
    <w:tbl>
      <w:tblPr>
        <w:tblW w:w="4185" w:type="pct"/>
        <w:jc w:val="center"/>
        <w:tblLook w:val="04A0" w:firstRow="1" w:lastRow="0" w:firstColumn="1" w:lastColumn="0" w:noHBand="0" w:noVBand="1"/>
      </w:tblPr>
      <w:tblGrid>
        <w:gridCol w:w="1746"/>
        <w:gridCol w:w="1525"/>
        <w:gridCol w:w="1521"/>
        <w:gridCol w:w="1521"/>
        <w:gridCol w:w="1521"/>
      </w:tblGrid>
      <w:tr w:rsidR="0089544F" w:rsidRPr="00263C50" w14:paraId="278A7513" w14:textId="77777777" w:rsidTr="005668E0">
        <w:trPr>
          <w:trHeight w:val="288"/>
          <w:jc w:val="center"/>
        </w:trPr>
        <w:tc>
          <w:tcPr>
            <w:tcW w:w="1114" w:type="pct"/>
            <w:tcBorders>
              <w:top w:val="single" w:sz="4" w:space="0" w:color="auto"/>
              <w:left w:val="nil"/>
              <w:bottom w:val="single" w:sz="4" w:space="0" w:color="auto"/>
              <w:right w:val="nil"/>
            </w:tcBorders>
            <w:shd w:val="clear" w:color="auto" w:fill="auto"/>
            <w:noWrap/>
            <w:vAlign w:val="center"/>
          </w:tcPr>
          <w:p w14:paraId="33E3161D" w14:textId="77777777" w:rsidR="0089544F" w:rsidRPr="00263C50" w:rsidRDefault="0089544F" w:rsidP="00186583">
            <w:pPr>
              <w:rPr>
                <w:rFonts w:ascii="Times New Roman" w:hAnsi="Times New Roman" w:cs="Times New Roman"/>
                <w:sz w:val="20"/>
                <w:szCs w:val="20"/>
                <w:lang w:val="en-US"/>
              </w:rPr>
            </w:pPr>
          </w:p>
        </w:tc>
        <w:tc>
          <w:tcPr>
            <w:tcW w:w="1944" w:type="pct"/>
            <w:gridSpan w:val="2"/>
            <w:tcBorders>
              <w:top w:val="single" w:sz="4" w:space="0" w:color="auto"/>
              <w:left w:val="nil"/>
              <w:bottom w:val="single" w:sz="4" w:space="0" w:color="auto"/>
              <w:right w:val="nil"/>
            </w:tcBorders>
            <w:vAlign w:val="center"/>
          </w:tcPr>
          <w:p w14:paraId="29D428F5" w14:textId="77777777" w:rsidR="0089544F" w:rsidRPr="00263C50" w:rsidRDefault="0089544F" w:rsidP="00186583">
            <w:pPr>
              <w:jc w:val="center"/>
              <w:rPr>
                <w:rFonts w:ascii="Times New Roman" w:hAnsi="Times New Roman" w:cs="Times New Roman"/>
                <w:i/>
                <w:sz w:val="20"/>
                <w:szCs w:val="20"/>
                <w:lang w:val="en-US"/>
              </w:rPr>
            </w:pPr>
            <w:r w:rsidRPr="00263C50">
              <w:rPr>
                <w:rFonts w:ascii="Times New Roman" w:hAnsi="Times New Roman" w:cs="Times New Roman"/>
                <w:i/>
                <w:sz w:val="20"/>
                <w:szCs w:val="20"/>
                <w:lang w:val="en-US"/>
              </w:rPr>
              <w:t>OLS</w:t>
            </w:r>
          </w:p>
        </w:tc>
        <w:tc>
          <w:tcPr>
            <w:tcW w:w="1942" w:type="pct"/>
            <w:gridSpan w:val="2"/>
            <w:tcBorders>
              <w:top w:val="single" w:sz="4" w:space="0" w:color="auto"/>
              <w:left w:val="nil"/>
              <w:bottom w:val="single" w:sz="4" w:space="0" w:color="auto"/>
              <w:right w:val="nil"/>
            </w:tcBorders>
            <w:vAlign w:val="center"/>
          </w:tcPr>
          <w:p w14:paraId="4B34115A" w14:textId="77777777" w:rsidR="0089544F" w:rsidRPr="00263C50" w:rsidRDefault="0089544F" w:rsidP="00186583">
            <w:pPr>
              <w:jc w:val="center"/>
              <w:rPr>
                <w:rFonts w:ascii="Times New Roman" w:hAnsi="Times New Roman" w:cs="Times New Roman"/>
                <w:i/>
                <w:sz w:val="20"/>
                <w:szCs w:val="20"/>
                <w:lang w:val="en-US"/>
              </w:rPr>
            </w:pPr>
            <w:r w:rsidRPr="00263C50">
              <w:rPr>
                <w:rFonts w:ascii="Times New Roman" w:hAnsi="Times New Roman" w:cs="Times New Roman"/>
                <w:i/>
                <w:sz w:val="20"/>
                <w:szCs w:val="20"/>
                <w:lang w:val="en-US"/>
              </w:rPr>
              <w:t>Tobit</w:t>
            </w:r>
          </w:p>
        </w:tc>
      </w:tr>
      <w:tr w:rsidR="0089544F" w:rsidRPr="00263C50" w14:paraId="4AC152D0" w14:textId="77777777" w:rsidTr="005668E0">
        <w:trPr>
          <w:trHeight w:val="288"/>
          <w:jc w:val="center"/>
        </w:trPr>
        <w:tc>
          <w:tcPr>
            <w:tcW w:w="1114" w:type="pct"/>
            <w:tcBorders>
              <w:top w:val="single" w:sz="4" w:space="0" w:color="auto"/>
              <w:left w:val="nil"/>
              <w:bottom w:val="single" w:sz="4" w:space="0" w:color="auto"/>
              <w:right w:val="nil"/>
            </w:tcBorders>
            <w:shd w:val="clear" w:color="auto" w:fill="auto"/>
            <w:noWrap/>
            <w:vAlign w:val="center"/>
          </w:tcPr>
          <w:p w14:paraId="05BA2968" w14:textId="77777777" w:rsidR="0089544F" w:rsidRPr="00263C50" w:rsidRDefault="0089544F" w:rsidP="00186583">
            <w:pPr>
              <w:rPr>
                <w:rFonts w:ascii="Times New Roman" w:hAnsi="Times New Roman" w:cs="Times New Roman"/>
                <w:sz w:val="20"/>
                <w:szCs w:val="20"/>
                <w:lang w:val="en-US"/>
              </w:rPr>
            </w:pPr>
          </w:p>
        </w:tc>
        <w:tc>
          <w:tcPr>
            <w:tcW w:w="973" w:type="pct"/>
            <w:tcBorders>
              <w:top w:val="single" w:sz="4" w:space="0" w:color="auto"/>
              <w:left w:val="nil"/>
              <w:bottom w:val="single" w:sz="4" w:space="0" w:color="auto"/>
              <w:right w:val="nil"/>
            </w:tcBorders>
            <w:vAlign w:val="center"/>
          </w:tcPr>
          <w:p w14:paraId="51D3238B" w14:textId="77777777" w:rsidR="0089544F" w:rsidRPr="00263C50" w:rsidRDefault="0089544F" w:rsidP="00186583">
            <w:pPr>
              <w:jc w:val="center"/>
              <w:rPr>
                <w:rFonts w:ascii="Times New Roman" w:hAnsi="Times New Roman" w:cs="Times New Roman"/>
                <w:i/>
                <w:sz w:val="20"/>
                <w:szCs w:val="20"/>
                <w:lang w:val="en-US"/>
              </w:rPr>
            </w:pPr>
            <w:proofErr w:type="spellStart"/>
            <w:r w:rsidRPr="00263C50">
              <w:rPr>
                <w:rFonts w:ascii="Times New Roman" w:hAnsi="Times New Roman" w:cs="Times New Roman"/>
                <w:i/>
                <w:sz w:val="20"/>
                <w:szCs w:val="20"/>
                <w:lang w:val="en-US"/>
              </w:rPr>
              <w:t>TaxLit</w:t>
            </w:r>
            <w:proofErr w:type="spellEnd"/>
          </w:p>
        </w:tc>
        <w:tc>
          <w:tcPr>
            <w:tcW w:w="971" w:type="pct"/>
            <w:tcBorders>
              <w:top w:val="single" w:sz="4" w:space="0" w:color="auto"/>
              <w:left w:val="nil"/>
              <w:bottom w:val="single" w:sz="4" w:space="0" w:color="auto"/>
              <w:right w:val="nil"/>
            </w:tcBorders>
            <w:vAlign w:val="center"/>
          </w:tcPr>
          <w:p w14:paraId="2C075E25" w14:textId="77777777" w:rsidR="0089544F" w:rsidRPr="00263C50" w:rsidRDefault="0089544F" w:rsidP="00186583">
            <w:pPr>
              <w:jc w:val="center"/>
              <w:rPr>
                <w:rFonts w:ascii="Times New Roman" w:hAnsi="Times New Roman" w:cs="Times New Roman"/>
                <w:i/>
                <w:sz w:val="20"/>
                <w:szCs w:val="20"/>
                <w:lang w:val="en-US"/>
              </w:rPr>
            </w:pPr>
            <w:proofErr w:type="spellStart"/>
            <w:r w:rsidRPr="00263C50">
              <w:rPr>
                <w:rFonts w:ascii="Times New Roman" w:hAnsi="Times New Roman" w:cs="Times New Roman"/>
                <w:i/>
                <w:sz w:val="20"/>
                <w:szCs w:val="20"/>
                <w:lang w:val="en-US"/>
              </w:rPr>
              <w:t>TaxConf</w:t>
            </w:r>
            <w:proofErr w:type="spellEnd"/>
          </w:p>
        </w:tc>
        <w:tc>
          <w:tcPr>
            <w:tcW w:w="971" w:type="pct"/>
            <w:tcBorders>
              <w:top w:val="single" w:sz="4" w:space="0" w:color="auto"/>
              <w:left w:val="nil"/>
              <w:bottom w:val="single" w:sz="4" w:space="0" w:color="auto"/>
              <w:right w:val="nil"/>
            </w:tcBorders>
            <w:vAlign w:val="center"/>
          </w:tcPr>
          <w:p w14:paraId="31B37255" w14:textId="77777777" w:rsidR="0089544F" w:rsidRPr="00263C50" w:rsidRDefault="0089544F" w:rsidP="00186583">
            <w:pPr>
              <w:jc w:val="center"/>
              <w:rPr>
                <w:rFonts w:ascii="Times New Roman" w:hAnsi="Times New Roman" w:cs="Times New Roman"/>
                <w:i/>
                <w:sz w:val="20"/>
                <w:szCs w:val="20"/>
                <w:lang w:val="en-US"/>
              </w:rPr>
            </w:pPr>
            <w:proofErr w:type="spellStart"/>
            <w:r w:rsidRPr="00263C50">
              <w:rPr>
                <w:rFonts w:ascii="Times New Roman" w:hAnsi="Times New Roman" w:cs="Times New Roman"/>
                <w:i/>
                <w:sz w:val="20"/>
                <w:szCs w:val="20"/>
                <w:lang w:val="en-US"/>
              </w:rPr>
              <w:t>TaxLit</w:t>
            </w:r>
            <w:proofErr w:type="spellEnd"/>
          </w:p>
        </w:tc>
        <w:tc>
          <w:tcPr>
            <w:tcW w:w="971" w:type="pct"/>
            <w:tcBorders>
              <w:top w:val="single" w:sz="4" w:space="0" w:color="auto"/>
              <w:left w:val="nil"/>
              <w:bottom w:val="single" w:sz="4" w:space="0" w:color="auto"/>
              <w:right w:val="nil"/>
            </w:tcBorders>
            <w:vAlign w:val="center"/>
          </w:tcPr>
          <w:p w14:paraId="4C35E5E5" w14:textId="77777777" w:rsidR="0089544F" w:rsidRPr="00263C50" w:rsidRDefault="0089544F" w:rsidP="00186583">
            <w:pPr>
              <w:jc w:val="center"/>
              <w:rPr>
                <w:rFonts w:ascii="Times New Roman" w:hAnsi="Times New Roman" w:cs="Times New Roman"/>
                <w:i/>
                <w:sz w:val="20"/>
                <w:szCs w:val="20"/>
                <w:lang w:val="en-US"/>
              </w:rPr>
            </w:pPr>
            <w:proofErr w:type="spellStart"/>
            <w:r w:rsidRPr="00263C50">
              <w:rPr>
                <w:rFonts w:ascii="Times New Roman" w:hAnsi="Times New Roman" w:cs="Times New Roman"/>
                <w:i/>
                <w:sz w:val="20"/>
                <w:szCs w:val="20"/>
                <w:lang w:val="en-US"/>
              </w:rPr>
              <w:t>TaxConf</w:t>
            </w:r>
            <w:proofErr w:type="spellEnd"/>
          </w:p>
        </w:tc>
      </w:tr>
      <w:tr w:rsidR="0089544F" w:rsidRPr="00263C50" w14:paraId="2743DDF0" w14:textId="77777777" w:rsidTr="005668E0">
        <w:trPr>
          <w:trHeight w:val="288"/>
          <w:jc w:val="center"/>
        </w:trPr>
        <w:tc>
          <w:tcPr>
            <w:tcW w:w="1114" w:type="pct"/>
            <w:tcBorders>
              <w:top w:val="nil"/>
              <w:left w:val="nil"/>
              <w:bottom w:val="nil"/>
              <w:right w:val="nil"/>
            </w:tcBorders>
            <w:shd w:val="clear" w:color="auto" w:fill="auto"/>
            <w:noWrap/>
            <w:vAlign w:val="center"/>
          </w:tcPr>
          <w:p w14:paraId="7592E07B"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IntroAcctg</w:t>
            </w:r>
            <w:proofErr w:type="spellEnd"/>
          </w:p>
        </w:tc>
        <w:tc>
          <w:tcPr>
            <w:tcW w:w="973" w:type="pct"/>
            <w:tcBorders>
              <w:top w:val="nil"/>
              <w:left w:val="nil"/>
              <w:bottom w:val="nil"/>
              <w:right w:val="nil"/>
            </w:tcBorders>
            <w:vAlign w:val="center"/>
          </w:tcPr>
          <w:p w14:paraId="1EBAD69B"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-0.027</w:t>
            </w:r>
          </w:p>
        </w:tc>
        <w:tc>
          <w:tcPr>
            <w:tcW w:w="971" w:type="pct"/>
            <w:tcBorders>
              <w:top w:val="nil"/>
              <w:left w:val="nil"/>
              <w:bottom w:val="nil"/>
              <w:right w:val="nil"/>
            </w:tcBorders>
            <w:vAlign w:val="center"/>
          </w:tcPr>
          <w:p w14:paraId="00C7BEF8"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-0.15</w:t>
            </w:r>
          </w:p>
        </w:tc>
        <w:tc>
          <w:tcPr>
            <w:tcW w:w="971" w:type="pct"/>
            <w:tcBorders>
              <w:top w:val="nil"/>
              <w:left w:val="nil"/>
              <w:bottom w:val="nil"/>
              <w:right w:val="nil"/>
            </w:tcBorders>
            <w:vAlign w:val="center"/>
          </w:tcPr>
          <w:p w14:paraId="09F5EE96"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-0.029</w:t>
            </w:r>
          </w:p>
        </w:tc>
        <w:tc>
          <w:tcPr>
            <w:tcW w:w="971" w:type="pct"/>
            <w:tcBorders>
              <w:top w:val="nil"/>
              <w:left w:val="nil"/>
              <w:bottom w:val="nil"/>
              <w:right w:val="nil"/>
            </w:tcBorders>
            <w:vAlign w:val="center"/>
          </w:tcPr>
          <w:p w14:paraId="3ACEB6B4"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-0.097</w:t>
            </w:r>
          </w:p>
        </w:tc>
      </w:tr>
      <w:tr w:rsidR="0089544F" w:rsidRPr="00263C50" w14:paraId="1ED66DFD" w14:textId="77777777" w:rsidTr="005668E0">
        <w:trPr>
          <w:trHeight w:val="288"/>
          <w:jc w:val="center"/>
        </w:trPr>
        <w:tc>
          <w:tcPr>
            <w:tcW w:w="1114" w:type="pct"/>
            <w:tcBorders>
              <w:top w:val="nil"/>
              <w:left w:val="nil"/>
              <w:bottom w:val="nil"/>
              <w:right w:val="nil"/>
            </w:tcBorders>
            <w:shd w:val="clear" w:color="auto" w:fill="auto"/>
            <w:noWrap/>
            <w:vAlign w:val="center"/>
          </w:tcPr>
          <w:p w14:paraId="71A6075E" w14:textId="77777777" w:rsidR="0089544F" w:rsidRPr="00263C50" w:rsidRDefault="0089544F" w:rsidP="00186583">
            <w:pPr>
              <w:rPr>
                <w:rFonts w:ascii="Times New Roman" w:hAnsi="Times New Roman" w:cs="Times New Roman"/>
                <w:i/>
                <w:color w:val="000000"/>
                <w:sz w:val="20"/>
                <w:szCs w:val="20"/>
              </w:rPr>
            </w:pPr>
          </w:p>
        </w:tc>
        <w:tc>
          <w:tcPr>
            <w:tcW w:w="973" w:type="pct"/>
            <w:tcBorders>
              <w:top w:val="nil"/>
              <w:left w:val="nil"/>
              <w:bottom w:val="nil"/>
              <w:right w:val="nil"/>
            </w:tcBorders>
            <w:vAlign w:val="center"/>
          </w:tcPr>
          <w:p w14:paraId="0975906C"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(-0.64)</w:t>
            </w:r>
          </w:p>
        </w:tc>
        <w:tc>
          <w:tcPr>
            <w:tcW w:w="971" w:type="pct"/>
            <w:tcBorders>
              <w:top w:val="nil"/>
              <w:left w:val="nil"/>
              <w:bottom w:val="nil"/>
              <w:right w:val="nil"/>
            </w:tcBorders>
            <w:vAlign w:val="center"/>
          </w:tcPr>
          <w:p w14:paraId="7E3228AB"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(-0.91)</w:t>
            </w:r>
          </w:p>
        </w:tc>
        <w:tc>
          <w:tcPr>
            <w:tcW w:w="971" w:type="pct"/>
            <w:tcBorders>
              <w:top w:val="nil"/>
              <w:left w:val="nil"/>
              <w:bottom w:val="nil"/>
              <w:right w:val="nil"/>
            </w:tcBorders>
            <w:vAlign w:val="center"/>
          </w:tcPr>
          <w:p w14:paraId="654F131E"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(-0.68)</w:t>
            </w:r>
          </w:p>
        </w:tc>
        <w:tc>
          <w:tcPr>
            <w:tcW w:w="971" w:type="pct"/>
            <w:tcBorders>
              <w:top w:val="nil"/>
              <w:left w:val="nil"/>
              <w:bottom w:val="nil"/>
              <w:right w:val="nil"/>
            </w:tcBorders>
            <w:vAlign w:val="center"/>
          </w:tcPr>
          <w:p w14:paraId="259D4E6D"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(-0.44)</w:t>
            </w:r>
          </w:p>
        </w:tc>
      </w:tr>
      <w:tr w:rsidR="0089544F" w:rsidRPr="00263C50" w14:paraId="12021FD7" w14:textId="77777777" w:rsidTr="005668E0">
        <w:trPr>
          <w:trHeight w:val="288"/>
          <w:jc w:val="center"/>
        </w:trPr>
        <w:tc>
          <w:tcPr>
            <w:tcW w:w="1114" w:type="pct"/>
            <w:tcBorders>
              <w:top w:val="nil"/>
              <w:left w:val="nil"/>
              <w:bottom w:val="nil"/>
              <w:right w:val="nil"/>
            </w:tcBorders>
            <w:shd w:val="clear" w:color="auto" w:fill="auto"/>
            <w:noWrap/>
            <w:vAlign w:val="center"/>
          </w:tcPr>
          <w:p w14:paraId="234633D7"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UpperAcctg</w:t>
            </w:r>
            <w:proofErr w:type="spellEnd"/>
          </w:p>
        </w:tc>
        <w:tc>
          <w:tcPr>
            <w:tcW w:w="973" w:type="pct"/>
            <w:tcBorders>
              <w:top w:val="nil"/>
              <w:left w:val="nil"/>
              <w:bottom w:val="nil"/>
              <w:right w:val="nil"/>
            </w:tcBorders>
            <w:vAlign w:val="center"/>
          </w:tcPr>
          <w:p w14:paraId="573F8A08"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0.033</w:t>
            </w:r>
          </w:p>
        </w:tc>
        <w:tc>
          <w:tcPr>
            <w:tcW w:w="971" w:type="pct"/>
            <w:tcBorders>
              <w:top w:val="nil"/>
              <w:left w:val="nil"/>
              <w:bottom w:val="nil"/>
              <w:right w:val="nil"/>
            </w:tcBorders>
            <w:vAlign w:val="center"/>
          </w:tcPr>
          <w:p w14:paraId="3B9F4753"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-0.25</w:t>
            </w:r>
          </w:p>
        </w:tc>
        <w:tc>
          <w:tcPr>
            <w:tcW w:w="971" w:type="pct"/>
            <w:tcBorders>
              <w:top w:val="nil"/>
              <w:left w:val="nil"/>
              <w:bottom w:val="nil"/>
              <w:right w:val="nil"/>
            </w:tcBorders>
            <w:vAlign w:val="center"/>
          </w:tcPr>
          <w:p w14:paraId="687FFCA3"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0.030</w:t>
            </w:r>
          </w:p>
        </w:tc>
        <w:tc>
          <w:tcPr>
            <w:tcW w:w="971" w:type="pct"/>
            <w:tcBorders>
              <w:top w:val="nil"/>
              <w:left w:val="nil"/>
              <w:bottom w:val="nil"/>
              <w:right w:val="nil"/>
            </w:tcBorders>
            <w:vAlign w:val="center"/>
          </w:tcPr>
          <w:p w14:paraId="110BEFFB"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-0.18</w:t>
            </w:r>
          </w:p>
        </w:tc>
      </w:tr>
      <w:tr w:rsidR="0089544F" w:rsidRPr="00263C50" w14:paraId="4D8B962B" w14:textId="77777777" w:rsidTr="005668E0">
        <w:trPr>
          <w:trHeight w:val="288"/>
          <w:jc w:val="center"/>
        </w:trPr>
        <w:tc>
          <w:tcPr>
            <w:tcW w:w="1114" w:type="pct"/>
            <w:tcBorders>
              <w:top w:val="nil"/>
              <w:left w:val="nil"/>
              <w:bottom w:val="nil"/>
              <w:right w:val="nil"/>
            </w:tcBorders>
            <w:shd w:val="clear" w:color="auto" w:fill="auto"/>
            <w:noWrap/>
            <w:vAlign w:val="center"/>
          </w:tcPr>
          <w:p w14:paraId="768C42A9" w14:textId="77777777" w:rsidR="0089544F" w:rsidRPr="00263C50" w:rsidRDefault="0089544F" w:rsidP="00186583">
            <w:pPr>
              <w:rPr>
                <w:rFonts w:ascii="Times New Roman" w:hAnsi="Times New Roman" w:cs="Times New Roman"/>
                <w:i/>
                <w:color w:val="000000"/>
                <w:sz w:val="20"/>
                <w:szCs w:val="20"/>
              </w:rPr>
            </w:pPr>
          </w:p>
        </w:tc>
        <w:tc>
          <w:tcPr>
            <w:tcW w:w="973" w:type="pct"/>
            <w:tcBorders>
              <w:top w:val="nil"/>
              <w:left w:val="nil"/>
              <w:bottom w:val="nil"/>
              <w:right w:val="nil"/>
            </w:tcBorders>
            <w:vAlign w:val="center"/>
          </w:tcPr>
          <w:p w14:paraId="7DE63923"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(0.57)</w:t>
            </w:r>
          </w:p>
        </w:tc>
        <w:tc>
          <w:tcPr>
            <w:tcW w:w="971" w:type="pct"/>
            <w:tcBorders>
              <w:top w:val="nil"/>
              <w:left w:val="nil"/>
              <w:bottom w:val="nil"/>
              <w:right w:val="nil"/>
            </w:tcBorders>
            <w:vAlign w:val="center"/>
          </w:tcPr>
          <w:p w14:paraId="042AFBB7"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(-1.43)</w:t>
            </w:r>
          </w:p>
        </w:tc>
        <w:tc>
          <w:tcPr>
            <w:tcW w:w="971" w:type="pct"/>
            <w:tcBorders>
              <w:top w:val="nil"/>
              <w:left w:val="nil"/>
              <w:bottom w:val="nil"/>
              <w:right w:val="nil"/>
            </w:tcBorders>
            <w:vAlign w:val="center"/>
          </w:tcPr>
          <w:p w14:paraId="000742AC"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(0.52)</w:t>
            </w:r>
          </w:p>
        </w:tc>
        <w:tc>
          <w:tcPr>
            <w:tcW w:w="971" w:type="pct"/>
            <w:tcBorders>
              <w:top w:val="nil"/>
              <w:left w:val="nil"/>
              <w:bottom w:val="nil"/>
              <w:right w:val="nil"/>
            </w:tcBorders>
            <w:vAlign w:val="center"/>
          </w:tcPr>
          <w:p w14:paraId="319573E3"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(-0.78)</w:t>
            </w:r>
          </w:p>
        </w:tc>
      </w:tr>
      <w:tr w:rsidR="0089544F" w:rsidRPr="00263C50" w14:paraId="1BEBCED7" w14:textId="77777777" w:rsidTr="005668E0">
        <w:trPr>
          <w:trHeight w:val="288"/>
          <w:jc w:val="center"/>
        </w:trPr>
        <w:tc>
          <w:tcPr>
            <w:tcW w:w="1114" w:type="pct"/>
            <w:tcBorders>
              <w:top w:val="nil"/>
              <w:left w:val="nil"/>
              <w:bottom w:val="nil"/>
              <w:right w:val="nil"/>
            </w:tcBorders>
            <w:shd w:val="clear" w:color="auto" w:fill="auto"/>
            <w:noWrap/>
            <w:vAlign w:val="center"/>
          </w:tcPr>
          <w:p w14:paraId="7F0CDAC4"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IntroTax</w:t>
            </w:r>
            <w:proofErr w:type="spellEnd"/>
          </w:p>
        </w:tc>
        <w:tc>
          <w:tcPr>
            <w:tcW w:w="973" w:type="pct"/>
            <w:tcBorders>
              <w:top w:val="nil"/>
              <w:left w:val="nil"/>
              <w:bottom w:val="nil"/>
              <w:right w:val="nil"/>
            </w:tcBorders>
            <w:vAlign w:val="center"/>
          </w:tcPr>
          <w:p w14:paraId="2B3187AB"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hAnsi="Times New Roman" w:cs="Times New Roman"/>
                <w:color w:val="000000"/>
                <w:sz w:val="20"/>
                <w:szCs w:val="20"/>
              </w:rPr>
              <w:t>0.081*</w:t>
            </w:r>
          </w:p>
        </w:tc>
        <w:tc>
          <w:tcPr>
            <w:tcW w:w="971" w:type="pct"/>
            <w:tcBorders>
              <w:top w:val="nil"/>
              <w:left w:val="nil"/>
              <w:bottom w:val="nil"/>
              <w:right w:val="nil"/>
            </w:tcBorders>
            <w:vAlign w:val="center"/>
          </w:tcPr>
          <w:p w14:paraId="262E655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0.55***</w:t>
            </w:r>
          </w:p>
        </w:tc>
        <w:tc>
          <w:tcPr>
            <w:tcW w:w="971" w:type="pct"/>
            <w:tcBorders>
              <w:top w:val="nil"/>
              <w:left w:val="nil"/>
              <w:bottom w:val="nil"/>
              <w:right w:val="nil"/>
            </w:tcBorders>
            <w:vAlign w:val="center"/>
          </w:tcPr>
          <w:p w14:paraId="5CF2999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0.086*</w:t>
            </w:r>
          </w:p>
        </w:tc>
        <w:tc>
          <w:tcPr>
            <w:tcW w:w="971" w:type="pct"/>
            <w:tcBorders>
              <w:top w:val="nil"/>
              <w:left w:val="nil"/>
              <w:bottom w:val="nil"/>
              <w:right w:val="nil"/>
            </w:tcBorders>
            <w:vAlign w:val="center"/>
          </w:tcPr>
          <w:p w14:paraId="61FC022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0.60***</w:t>
            </w:r>
          </w:p>
        </w:tc>
      </w:tr>
      <w:tr w:rsidR="0089544F" w:rsidRPr="00263C50" w14:paraId="0A864040" w14:textId="77777777" w:rsidTr="005668E0">
        <w:trPr>
          <w:trHeight w:val="288"/>
          <w:jc w:val="center"/>
        </w:trPr>
        <w:tc>
          <w:tcPr>
            <w:tcW w:w="1114" w:type="pct"/>
            <w:tcBorders>
              <w:top w:val="nil"/>
              <w:left w:val="nil"/>
              <w:bottom w:val="nil"/>
              <w:right w:val="nil"/>
            </w:tcBorders>
            <w:shd w:val="clear" w:color="auto" w:fill="auto"/>
            <w:noWrap/>
            <w:vAlign w:val="center"/>
          </w:tcPr>
          <w:p w14:paraId="406ACFD1" w14:textId="77777777" w:rsidR="0089544F" w:rsidRPr="00263C50" w:rsidRDefault="0089544F" w:rsidP="00186583">
            <w:pPr>
              <w:rPr>
                <w:rFonts w:ascii="Times New Roman" w:hAnsi="Times New Roman" w:cs="Times New Roman"/>
                <w:i/>
                <w:color w:val="000000"/>
                <w:sz w:val="20"/>
                <w:szCs w:val="20"/>
              </w:rPr>
            </w:pPr>
          </w:p>
        </w:tc>
        <w:tc>
          <w:tcPr>
            <w:tcW w:w="973" w:type="pct"/>
            <w:tcBorders>
              <w:top w:val="nil"/>
              <w:left w:val="nil"/>
              <w:bottom w:val="nil"/>
              <w:right w:val="nil"/>
            </w:tcBorders>
            <w:vAlign w:val="center"/>
          </w:tcPr>
          <w:p w14:paraId="5CB36A3A"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hAnsi="Times New Roman" w:cs="Times New Roman"/>
                <w:color w:val="000000"/>
                <w:sz w:val="20"/>
                <w:szCs w:val="20"/>
              </w:rPr>
              <w:t>(1.71)</w:t>
            </w:r>
          </w:p>
        </w:tc>
        <w:tc>
          <w:tcPr>
            <w:tcW w:w="971" w:type="pct"/>
            <w:tcBorders>
              <w:top w:val="nil"/>
              <w:left w:val="nil"/>
              <w:bottom w:val="nil"/>
              <w:right w:val="nil"/>
            </w:tcBorders>
            <w:vAlign w:val="center"/>
          </w:tcPr>
          <w:p w14:paraId="69FF231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(3.45)</w:t>
            </w:r>
          </w:p>
        </w:tc>
        <w:tc>
          <w:tcPr>
            <w:tcW w:w="971" w:type="pct"/>
            <w:tcBorders>
              <w:top w:val="nil"/>
              <w:left w:val="nil"/>
              <w:bottom w:val="nil"/>
              <w:right w:val="nil"/>
            </w:tcBorders>
            <w:vAlign w:val="center"/>
          </w:tcPr>
          <w:p w14:paraId="7BF1F20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(1.88)</w:t>
            </w:r>
          </w:p>
        </w:tc>
        <w:tc>
          <w:tcPr>
            <w:tcW w:w="971" w:type="pct"/>
            <w:tcBorders>
              <w:top w:val="nil"/>
              <w:left w:val="nil"/>
              <w:bottom w:val="nil"/>
              <w:right w:val="nil"/>
            </w:tcBorders>
            <w:vAlign w:val="center"/>
          </w:tcPr>
          <w:p w14:paraId="0BDF247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(3.30)</w:t>
            </w:r>
          </w:p>
        </w:tc>
      </w:tr>
      <w:tr w:rsidR="0089544F" w:rsidRPr="00263C50" w14:paraId="6E510731" w14:textId="77777777" w:rsidTr="005668E0">
        <w:trPr>
          <w:trHeight w:val="288"/>
          <w:jc w:val="center"/>
        </w:trPr>
        <w:tc>
          <w:tcPr>
            <w:tcW w:w="1114" w:type="pct"/>
            <w:tcBorders>
              <w:top w:val="nil"/>
              <w:left w:val="nil"/>
              <w:bottom w:val="nil"/>
              <w:right w:val="nil"/>
            </w:tcBorders>
            <w:shd w:val="clear" w:color="auto" w:fill="auto"/>
            <w:noWrap/>
            <w:vAlign w:val="center"/>
          </w:tcPr>
          <w:p w14:paraId="5B5B7D03"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UpperTax</w:t>
            </w:r>
            <w:proofErr w:type="spellEnd"/>
          </w:p>
        </w:tc>
        <w:tc>
          <w:tcPr>
            <w:tcW w:w="973" w:type="pct"/>
            <w:tcBorders>
              <w:top w:val="nil"/>
              <w:left w:val="nil"/>
              <w:bottom w:val="nil"/>
              <w:right w:val="nil"/>
            </w:tcBorders>
            <w:vAlign w:val="center"/>
          </w:tcPr>
          <w:p w14:paraId="5FD7CAE8"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hAnsi="Times New Roman" w:cs="Times New Roman"/>
                <w:color w:val="000000"/>
                <w:sz w:val="20"/>
                <w:szCs w:val="20"/>
              </w:rPr>
              <w:t>0.15**</w:t>
            </w:r>
          </w:p>
        </w:tc>
        <w:tc>
          <w:tcPr>
            <w:tcW w:w="971" w:type="pct"/>
            <w:tcBorders>
              <w:top w:val="nil"/>
              <w:left w:val="nil"/>
              <w:bottom w:val="nil"/>
              <w:right w:val="nil"/>
            </w:tcBorders>
            <w:vAlign w:val="center"/>
          </w:tcPr>
          <w:p w14:paraId="749018E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0.65***</w:t>
            </w:r>
          </w:p>
        </w:tc>
        <w:tc>
          <w:tcPr>
            <w:tcW w:w="971" w:type="pct"/>
            <w:tcBorders>
              <w:top w:val="nil"/>
              <w:left w:val="nil"/>
              <w:bottom w:val="nil"/>
              <w:right w:val="nil"/>
            </w:tcBorders>
            <w:vAlign w:val="center"/>
          </w:tcPr>
          <w:p w14:paraId="5718EC2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0.16***</w:t>
            </w:r>
          </w:p>
        </w:tc>
        <w:tc>
          <w:tcPr>
            <w:tcW w:w="971" w:type="pct"/>
            <w:tcBorders>
              <w:top w:val="nil"/>
              <w:left w:val="nil"/>
              <w:bottom w:val="nil"/>
              <w:right w:val="nil"/>
            </w:tcBorders>
            <w:vAlign w:val="center"/>
          </w:tcPr>
          <w:p w14:paraId="7227721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0.62***</w:t>
            </w:r>
          </w:p>
        </w:tc>
      </w:tr>
      <w:tr w:rsidR="0089544F" w:rsidRPr="00263C50" w14:paraId="46FA9156" w14:textId="77777777" w:rsidTr="005668E0">
        <w:trPr>
          <w:trHeight w:val="288"/>
          <w:jc w:val="center"/>
        </w:trPr>
        <w:tc>
          <w:tcPr>
            <w:tcW w:w="1114" w:type="pct"/>
            <w:tcBorders>
              <w:top w:val="nil"/>
              <w:left w:val="nil"/>
              <w:bottom w:val="nil"/>
              <w:right w:val="nil"/>
            </w:tcBorders>
            <w:shd w:val="clear" w:color="auto" w:fill="auto"/>
            <w:noWrap/>
            <w:vAlign w:val="center"/>
          </w:tcPr>
          <w:p w14:paraId="358DC209" w14:textId="77777777" w:rsidR="0089544F" w:rsidRPr="00263C50" w:rsidRDefault="0089544F" w:rsidP="00186583">
            <w:pPr>
              <w:rPr>
                <w:rFonts w:ascii="Times New Roman" w:hAnsi="Times New Roman" w:cs="Times New Roman"/>
                <w:i/>
                <w:color w:val="000000"/>
                <w:sz w:val="20"/>
                <w:szCs w:val="20"/>
              </w:rPr>
            </w:pPr>
          </w:p>
        </w:tc>
        <w:tc>
          <w:tcPr>
            <w:tcW w:w="973" w:type="pct"/>
            <w:tcBorders>
              <w:top w:val="nil"/>
              <w:left w:val="nil"/>
              <w:bottom w:val="nil"/>
              <w:right w:val="nil"/>
            </w:tcBorders>
            <w:vAlign w:val="center"/>
          </w:tcPr>
          <w:p w14:paraId="1A59A804"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hAnsi="Times New Roman" w:cs="Times New Roman"/>
                <w:color w:val="000000"/>
                <w:sz w:val="20"/>
                <w:szCs w:val="20"/>
              </w:rPr>
              <w:t>(2.54)</w:t>
            </w:r>
          </w:p>
        </w:tc>
        <w:tc>
          <w:tcPr>
            <w:tcW w:w="971" w:type="pct"/>
            <w:tcBorders>
              <w:top w:val="nil"/>
              <w:left w:val="nil"/>
              <w:bottom w:val="nil"/>
              <w:right w:val="nil"/>
            </w:tcBorders>
            <w:vAlign w:val="center"/>
          </w:tcPr>
          <w:p w14:paraId="7C8F65A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(4.28)</w:t>
            </w:r>
          </w:p>
        </w:tc>
        <w:tc>
          <w:tcPr>
            <w:tcW w:w="971" w:type="pct"/>
            <w:tcBorders>
              <w:top w:val="nil"/>
              <w:left w:val="nil"/>
              <w:bottom w:val="nil"/>
              <w:right w:val="nil"/>
            </w:tcBorders>
            <w:vAlign w:val="center"/>
          </w:tcPr>
          <w:p w14:paraId="243B034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(2.72)</w:t>
            </w:r>
          </w:p>
        </w:tc>
        <w:tc>
          <w:tcPr>
            <w:tcW w:w="971" w:type="pct"/>
            <w:tcBorders>
              <w:top w:val="nil"/>
              <w:left w:val="nil"/>
              <w:bottom w:val="nil"/>
              <w:right w:val="nil"/>
            </w:tcBorders>
            <w:vAlign w:val="center"/>
          </w:tcPr>
          <w:p w14:paraId="06FA2F7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(3.03)</w:t>
            </w:r>
          </w:p>
        </w:tc>
      </w:tr>
      <w:tr w:rsidR="0089544F" w:rsidRPr="00263C50" w14:paraId="78C8E7D3" w14:textId="77777777" w:rsidTr="005668E0">
        <w:trPr>
          <w:trHeight w:val="288"/>
          <w:jc w:val="center"/>
        </w:trPr>
        <w:tc>
          <w:tcPr>
            <w:tcW w:w="1114" w:type="pct"/>
            <w:tcBorders>
              <w:left w:val="nil"/>
              <w:bottom w:val="nil"/>
              <w:right w:val="nil"/>
            </w:tcBorders>
            <w:shd w:val="clear" w:color="auto" w:fill="auto"/>
            <w:noWrap/>
            <w:vAlign w:val="center"/>
          </w:tcPr>
          <w:p w14:paraId="15A66C2F"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FinLit</w:t>
            </w:r>
            <w:proofErr w:type="spellEnd"/>
          </w:p>
        </w:tc>
        <w:tc>
          <w:tcPr>
            <w:tcW w:w="973" w:type="pct"/>
            <w:tcBorders>
              <w:left w:val="nil"/>
              <w:bottom w:val="nil"/>
              <w:right w:val="nil"/>
            </w:tcBorders>
            <w:vAlign w:val="center"/>
          </w:tcPr>
          <w:p w14:paraId="2C90F5AE"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0.40***</w:t>
            </w:r>
          </w:p>
        </w:tc>
        <w:tc>
          <w:tcPr>
            <w:tcW w:w="971" w:type="pct"/>
            <w:tcBorders>
              <w:left w:val="nil"/>
              <w:bottom w:val="nil"/>
              <w:right w:val="nil"/>
            </w:tcBorders>
            <w:vAlign w:val="center"/>
          </w:tcPr>
          <w:p w14:paraId="502DED4D"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-0.42</w:t>
            </w:r>
          </w:p>
        </w:tc>
        <w:tc>
          <w:tcPr>
            <w:tcW w:w="971" w:type="pct"/>
            <w:tcBorders>
              <w:left w:val="nil"/>
              <w:bottom w:val="nil"/>
              <w:right w:val="nil"/>
            </w:tcBorders>
            <w:vAlign w:val="center"/>
          </w:tcPr>
          <w:p w14:paraId="0CF57BB1"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0.43***</w:t>
            </w:r>
          </w:p>
        </w:tc>
        <w:tc>
          <w:tcPr>
            <w:tcW w:w="971" w:type="pct"/>
            <w:tcBorders>
              <w:left w:val="nil"/>
              <w:bottom w:val="nil"/>
              <w:right w:val="nil"/>
            </w:tcBorders>
            <w:vAlign w:val="center"/>
          </w:tcPr>
          <w:p w14:paraId="4096EB2D" w14:textId="77777777" w:rsidR="0089544F" w:rsidRPr="00263C50" w:rsidRDefault="0089544F" w:rsidP="00186583">
            <w:pPr>
              <w:jc w:val="center"/>
              <w:rPr>
                <w:rFonts w:ascii="Times New Roman" w:hAnsi="Times New Roman" w:cs="Times New Roman"/>
                <w:i/>
                <w:color w:val="000000"/>
                <w:sz w:val="20"/>
                <w:szCs w:val="20"/>
              </w:rPr>
            </w:pPr>
            <w:r w:rsidRPr="00263C50">
              <w:rPr>
                <w:rFonts w:ascii="Times New Roman" w:hAnsi="Times New Roman" w:cs="Times New Roman"/>
                <w:color w:val="000000"/>
                <w:sz w:val="20"/>
                <w:szCs w:val="20"/>
              </w:rPr>
              <w:t>-0.49</w:t>
            </w:r>
          </w:p>
        </w:tc>
      </w:tr>
      <w:tr w:rsidR="0089544F" w:rsidRPr="00263C50" w14:paraId="633D23A3" w14:textId="77777777" w:rsidTr="005668E0">
        <w:trPr>
          <w:trHeight w:val="288"/>
          <w:jc w:val="center"/>
        </w:trPr>
        <w:tc>
          <w:tcPr>
            <w:tcW w:w="1114" w:type="pct"/>
            <w:tcBorders>
              <w:top w:val="nil"/>
              <w:left w:val="nil"/>
              <w:bottom w:val="nil"/>
              <w:right w:val="nil"/>
            </w:tcBorders>
            <w:shd w:val="clear" w:color="auto" w:fill="auto"/>
            <w:noWrap/>
            <w:vAlign w:val="center"/>
          </w:tcPr>
          <w:p w14:paraId="4E72789F"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973" w:type="pct"/>
            <w:tcBorders>
              <w:top w:val="nil"/>
              <w:left w:val="nil"/>
              <w:bottom w:val="nil"/>
              <w:right w:val="nil"/>
            </w:tcBorders>
            <w:vAlign w:val="center"/>
          </w:tcPr>
          <w:p w14:paraId="188A460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(6.45)</w:t>
            </w:r>
          </w:p>
        </w:tc>
        <w:tc>
          <w:tcPr>
            <w:tcW w:w="971" w:type="pct"/>
            <w:tcBorders>
              <w:top w:val="nil"/>
              <w:left w:val="nil"/>
              <w:bottom w:val="nil"/>
              <w:right w:val="nil"/>
            </w:tcBorders>
            <w:vAlign w:val="center"/>
          </w:tcPr>
          <w:p w14:paraId="0BAE35D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(-1.57)</w:t>
            </w:r>
          </w:p>
        </w:tc>
        <w:tc>
          <w:tcPr>
            <w:tcW w:w="971" w:type="pct"/>
            <w:tcBorders>
              <w:top w:val="nil"/>
              <w:left w:val="nil"/>
              <w:bottom w:val="nil"/>
              <w:right w:val="nil"/>
            </w:tcBorders>
            <w:vAlign w:val="center"/>
          </w:tcPr>
          <w:p w14:paraId="3554602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(6.50)</w:t>
            </w:r>
          </w:p>
        </w:tc>
        <w:tc>
          <w:tcPr>
            <w:tcW w:w="971" w:type="pct"/>
            <w:tcBorders>
              <w:top w:val="nil"/>
              <w:left w:val="nil"/>
              <w:bottom w:val="nil"/>
              <w:right w:val="nil"/>
            </w:tcBorders>
            <w:vAlign w:val="center"/>
          </w:tcPr>
          <w:p w14:paraId="00F8C8D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(-1.39)</w:t>
            </w:r>
          </w:p>
        </w:tc>
      </w:tr>
      <w:tr w:rsidR="0089544F" w:rsidRPr="00263C50" w14:paraId="782FD27E" w14:textId="77777777" w:rsidTr="005668E0">
        <w:trPr>
          <w:trHeight w:val="288"/>
          <w:jc w:val="center"/>
        </w:trPr>
        <w:tc>
          <w:tcPr>
            <w:tcW w:w="1114" w:type="pct"/>
            <w:tcBorders>
              <w:top w:val="nil"/>
              <w:left w:val="nil"/>
              <w:bottom w:val="nil"/>
              <w:right w:val="nil"/>
            </w:tcBorders>
            <w:shd w:val="clear" w:color="auto" w:fill="auto"/>
            <w:noWrap/>
            <w:vAlign w:val="center"/>
          </w:tcPr>
          <w:p w14:paraId="3B8D0E04"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TaxLit</w:t>
            </w:r>
            <w:proofErr w:type="spellEnd"/>
          </w:p>
        </w:tc>
        <w:tc>
          <w:tcPr>
            <w:tcW w:w="973" w:type="pct"/>
            <w:tcBorders>
              <w:top w:val="nil"/>
              <w:left w:val="nil"/>
              <w:bottom w:val="nil"/>
              <w:right w:val="nil"/>
            </w:tcBorders>
            <w:vAlign w:val="center"/>
          </w:tcPr>
          <w:p w14:paraId="2D5F80AD"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hAnsi="Times New Roman" w:cs="Times New Roman"/>
                <w:color w:val="000000"/>
                <w:sz w:val="20"/>
                <w:szCs w:val="20"/>
              </w:rPr>
              <w:t>-</w:t>
            </w:r>
          </w:p>
        </w:tc>
        <w:tc>
          <w:tcPr>
            <w:tcW w:w="971" w:type="pct"/>
            <w:tcBorders>
              <w:top w:val="nil"/>
              <w:left w:val="nil"/>
              <w:bottom w:val="nil"/>
              <w:right w:val="nil"/>
            </w:tcBorders>
            <w:vAlign w:val="center"/>
          </w:tcPr>
          <w:p w14:paraId="43D842CA"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hAnsi="Times New Roman" w:cs="Times New Roman"/>
                <w:color w:val="000000"/>
                <w:sz w:val="20"/>
                <w:szCs w:val="20"/>
              </w:rPr>
              <w:t>0.77**</w:t>
            </w:r>
          </w:p>
        </w:tc>
        <w:tc>
          <w:tcPr>
            <w:tcW w:w="971" w:type="pct"/>
            <w:tcBorders>
              <w:top w:val="nil"/>
              <w:left w:val="nil"/>
              <w:bottom w:val="nil"/>
              <w:right w:val="nil"/>
            </w:tcBorders>
            <w:vAlign w:val="center"/>
          </w:tcPr>
          <w:p w14:paraId="5A87265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w:t>
            </w:r>
          </w:p>
        </w:tc>
        <w:tc>
          <w:tcPr>
            <w:tcW w:w="971" w:type="pct"/>
            <w:tcBorders>
              <w:top w:val="nil"/>
              <w:left w:val="nil"/>
              <w:bottom w:val="nil"/>
              <w:right w:val="nil"/>
            </w:tcBorders>
            <w:vAlign w:val="center"/>
          </w:tcPr>
          <w:p w14:paraId="0DD67AC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1.01**</w:t>
            </w:r>
          </w:p>
        </w:tc>
      </w:tr>
      <w:tr w:rsidR="0089544F" w:rsidRPr="00263C50" w14:paraId="343F8722" w14:textId="77777777" w:rsidTr="005668E0">
        <w:trPr>
          <w:trHeight w:val="288"/>
          <w:jc w:val="center"/>
        </w:trPr>
        <w:tc>
          <w:tcPr>
            <w:tcW w:w="1114" w:type="pct"/>
            <w:tcBorders>
              <w:top w:val="nil"/>
              <w:left w:val="nil"/>
              <w:bottom w:val="nil"/>
              <w:right w:val="nil"/>
            </w:tcBorders>
            <w:shd w:val="clear" w:color="auto" w:fill="auto"/>
            <w:noWrap/>
            <w:vAlign w:val="center"/>
          </w:tcPr>
          <w:p w14:paraId="5DAB1532" w14:textId="77777777" w:rsidR="0089544F" w:rsidRPr="00263C50" w:rsidRDefault="0089544F" w:rsidP="00186583">
            <w:pPr>
              <w:rPr>
                <w:rFonts w:ascii="Times New Roman" w:hAnsi="Times New Roman" w:cs="Times New Roman"/>
                <w:i/>
                <w:color w:val="000000"/>
                <w:sz w:val="20"/>
                <w:szCs w:val="20"/>
              </w:rPr>
            </w:pPr>
          </w:p>
        </w:tc>
        <w:tc>
          <w:tcPr>
            <w:tcW w:w="973" w:type="pct"/>
            <w:tcBorders>
              <w:top w:val="nil"/>
              <w:left w:val="nil"/>
              <w:bottom w:val="nil"/>
              <w:right w:val="nil"/>
            </w:tcBorders>
            <w:vAlign w:val="center"/>
          </w:tcPr>
          <w:p w14:paraId="07590EE3"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p>
        </w:tc>
        <w:tc>
          <w:tcPr>
            <w:tcW w:w="971" w:type="pct"/>
            <w:tcBorders>
              <w:top w:val="nil"/>
              <w:left w:val="nil"/>
              <w:bottom w:val="nil"/>
              <w:right w:val="nil"/>
            </w:tcBorders>
            <w:vAlign w:val="center"/>
          </w:tcPr>
          <w:p w14:paraId="7E9CC745"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hAnsi="Times New Roman" w:cs="Times New Roman"/>
                <w:color w:val="000000"/>
                <w:sz w:val="20"/>
                <w:szCs w:val="20"/>
              </w:rPr>
              <w:t>(2.36)</w:t>
            </w:r>
          </w:p>
        </w:tc>
        <w:tc>
          <w:tcPr>
            <w:tcW w:w="971" w:type="pct"/>
            <w:tcBorders>
              <w:top w:val="nil"/>
              <w:left w:val="nil"/>
              <w:bottom w:val="nil"/>
              <w:right w:val="nil"/>
            </w:tcBorders>
            <w:vAlign w:val="center"/>
          </w:tcPr>
          <w:p w14:paraId="5F9593BB" w14:textId="77777777" w:rsidR="0089544F" w:rsidRPr="00263C50" w:rsidRDefault="0089544F" w:rsidP="00186583">
            <w:pPr>
              <w:jc w:val="center"/>
              <w:rPr>
                <w:rFonts w:ascii="Times New Roman" w:hAnsi="Times New Roman" w:cs="Times New Roman"/>
                <w:color w:val="000000"/>
                <w:sz w:val="20"/>
                <w:szCs w:val="20"/>
              </w:rPr>
            </w:pPr>
          </w:p>
        </w:tc>
        <w:tc>
          <w:tcPr>
            <w:tcW w:w="971" w:type="pct"/>
            <w:tcBorders>
              <w:top w:val="nil"/>
              <w:left w:val="nil"/>
              <w:bottom w:val="nil"/>
              <w:right w:val="nil"/>
            </w:tcBorders>
            <w:vAlign w:val="center"/>
          </w:tcPr>
          <w:p w14:paraId="08515BE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(2.35)</w:t>
            </w:r>
          </w:p>
        </w:tc>
      </w:tr>
      <w:tr w:rsidR="0089544F" w:rsidRPr="00263C50" w14:paraId="65B691F6" w14:textId="77777777" w:rsidTr="005668E0">
        <w:trPr>
          <w:trHeight w:val="288"/>
          <w:jc w:val="center"/>
        </w:trPr>
        <w:tc>
          <w:tcPr>
            <w:tcW w:w="1114" w:type="pct"/>
            <w:tcBorders>
              <w:top w:val="nil"/>
              <w:left w:val="nil"/>
              <w:bottom w:val="nil"/>
              <w:right w:val="nil"/>
            </w:tcBorders>
            <w:shd w:val="clear" w:color="auto" w:fill="auto"/>
            <w:noWrap/>
            <w:vAlign w:val="center"/>
          </w:tcPr>
          <w:p w14:paraId="042FF181" w14:textId="77777777" w:rsidR="0089544F" w:rsidRPr="00263C50" w:rsidRDefault="0089544F" w:rsidP="00186583">
            <w:pPr>
              <w:rPr>
                <w:rFonts w:ascii="Times New Roman" w:hAnsi="Times New Roman" w:cs="Times New Roman"/>
                <w:i/>
                <w:color w:val="000000"/>
                <w:sz w:val="20"/>
                <w:szCs w:val="20"/>
              </w:rPr>
            </w:pPr>
            <w:proofErr w:type="spellStart"/>
            <w:r w:rsidRPr="00263C50">
              <w:rPr>
                <w:rFonts w:ascii="Times New Roman" w:hAnsi="Times New Roman" w:cs="Times New Roman"/>
                <w:i/>
                <w:color w:val="000000"/>
                <w:sz w:val="20"/>
                <w:szCs w:val="20"/>
              </w:rPr>
              <w:t>FinConf</w:t>
            </w:r>
            <w:proofErr w:type="spellEnd"/>
          </w:p>
        </w:tc>
        <w:tc>
          <w:tcPr>
            <w:tcW w:w="973" w:type="pct"/>
            <w:tcBorders>
              <w:top w:val="nil"/>
              <w:left w:val="nil"/>
              <w:bottom w:val="nil"/>
              <w:right w:val="nil"/>
            </w:tcBorders>
            <w:vAlign w:val="center"/>
          </w:tcPr>
          <w:p w14:paraId="3E50A6A6"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hAnsi="Times New Roman" w:cs="Times New Roman"/>
                <w:color w:val="000000"/>
                <w:sz w:val="20"/>
                <w:szCs w:val="20"/>
              </w:rPr>
              <w:t>-</w:t>
            </w:r>
          </w:p>
        </w:tc>
        <w:tc>
          <w:tcPr>
            <w:tcW w:w="971" w:type="pct"/>
            <w:tcBorders>
              <w:top w:val="nil"/>
              <w:left w:val="nil"/>
              <w:bottom w:val="nil"/>
              <w:right w:val="nil"/>
            </w:tcBorders>
            <w:vAlign w:val="center"/>
          </w:tcPr>
          <w:p w14:paraId="3715FE67"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hAnsi="Times New Roman" w:cs="Times New Roman"/>
                <w:color w:val="000000"/>
                <w:sz w:val="20"/>
                <w:szCs w:val="20"/>
              </w:rPr>
              <w:t>0.48***</w:t>
            </w:r>
          </w:p>
        </w:tc>
        <w:tc>
          <w:tcPr>
            <w:tcW w:w="971" w:type="pct"/>
            <w:tcBorders>
              <w:top w:val="nil"/>
              <w:left w:val="nil"/>
              <w:bottom w:val="nil"/>
              <w:right w:val="nil"/>
            </w:tcBorders>
            <w:vAlign w:val="center"/>
          </w:tcPr>
          <w:p w14:paraId="61CD95E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w:t>
            </w:r>
          </w:p>
        </w:tc>
        <w:tc>
          <w:tcPr>
            <w:tcW w:w="971" w:type="pct"/>
            <w:tcBorders>
              <w:top w:val="nil"/>
              <w:left w:val="nil"/>
              <w:bottom w:val="nil"/>
              <w:right w:val="nil"/>
            </w:tcBorders>
            <w:vAlign w:val="center"/>
          </w:tcPr>
          <w:p w14:paraId="26FD7D2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0.63***</w:t>
            </w:r>
          </w:p>
        </w:tc>
      </w:tr>
      <w:tr w:rsidR="0089544F" w:rsidRPr="00263C50" w14:paraId="256F70F1" w14:textId="77777777" w:rsidTr="005668E0">
        <w:trPr>
          <w:trHeight w:val="288"/>
          <w:jc w:val="center"/>
        </w:trPr>
        <w:tc>
          <w:tcPr>
            <w:tcW w:w="1114" w:type="pct"/>
            <w:tcBorders>
              <w:top w:val="nil"/>
              <w:left w:val="nil"/>
              <w:bottom w:val="nil"/>
              <w:right w:val="nil"/>
            </w:tcBorders>
            <w:shd w:val="clear" w:color="auto" w:fill="auto"/>
            <w:noWrap/>
            <w:vAlign w:val="center"/>
          </w:tcPr>
          <w:p w14:paraId="280A79F0" w14:textId="77777777" w:rsidR="0089544F" w:rsidRPr="00263C50" w:rsidRDefault="0089544F" w:rsidP="00186583">
            <w:pPr>
              <w:rPr>
                <w:rFonts w:ascii="Times New Roman" w:hAnsi="Times New Roman" w:cs="Times New Roman"/>
                <w:i/>
                <w:color w:val="000000"/>
                <w:sz w:val="20"/>
                <w:szCs w:val="20"/>
              </w:rPr>
            </w:pPr>
          </w:p>
        </w:tc>
        <w:tc>
          <w:tcPr>
            <w:tcW w:w="973" w:type="pct"/>
            <w:tcBorders>
              <w:top w:val="nil"/>
              <w:left w:val="nil"/>
              <w:bottom w:val="nil"/>
              <w:right w:val="nil"/>
            </w:tcBorders>
            <w:vAlign w:val="center"/>
          </w:tcPr>
          <w:p w14:paraId="34F4B16C"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p>
        </w:tc>
        <w:tc>
          <w:tcPr>
            <w:tcW w:w="971" w:type="pct"/>
            <w:tcBorders>
              <w:top w:val="nil"/>
              <w:left w:val="nil"/>
              <w:bottom w:val="nil"/>
              <w:right w:val="nil"/>
            </w:tcBorders>
            <w:vAlign w:val="center"/>
          </w:tcPr>
          <w:p w14:paraId="2A474FC8"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hAnsi="Times New Roman" w:cs="Times New Roman"/>
                <w:color w:val="000000"/>
                <w:sz w:val="20"/>
                <w:szCs w:val="20"/>
              </w:rPr>
              <w:t>(7.56)</w:t>
            </w:r>
          </w:p>
        </w:tc>
        <w:tc>
          <w:tcPr>
            <w:tcW w:w="971" w:type="pct"/>
            <w:tcBorders>
              <w:top w:val="nil"/>
              <w:left w:val="nil"/>
              <w:bottom w:val="nil"/>
              <w:right w:val="nil"/>
            </w:tcBorders>
            <w:vAlign w:val="center"/>
          </w:tcPr>
          <w:p w14:paraId="0CCC7371" w14:textId="77777777" w:rsidR="0089544F" w:rsidRPr="00263C50" w:rsidRDefault="0089544F" w:rsidP="00186583">
            <w:pPr>
              <w:jc w:val="center"/>
              <w:rPr>
                <w:rFonts w:ascii="Times New Roman" w:hAnsi="Times New Roman" w:cs="Times New Roman"/>
                <w:color w:val="000000"/>
                <w:sz w:val="20"/>
                <w:szCs w:val="20"/>
              </w:rPr>
            </w:pPr>
          </w:p>
        </w:tc>
        <w:tc>
          <w:tcPr>
            <w:tcW w:w="971" w:type="pct"/>
            <w:tcBorders>
              <w:top w:val="nil"/>
              <w:left w:val="nil"/>
              <w:bottom w:val="nil"/>
              <w:right w:val="nil"/>
            </w:tcBorders>
            <w:vAlign w:val="center"/>
          </w:tcPr>
          <w:p w14:paraId="1A7569F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(7.53)</w:t>
            </w:r>
          </w:p>
        </w:tc>
      </w:tr>
      <w:tr w:rsidR="0089544F" w:rsidRPr="00263C50" w14:paraId="5446F5E9" w14:textId="77777777" w:rsidTr="005668E0">
        <w:trPr>
          <w:trHeight w:val="288"/>
          <w:jc w:val="center"/>
        </w:trPr>
        <w:tc>
          <w:tcPr>
            <w:tcW w:w="1114" w:type="pct"/>
            <w:tcBorders>
              <w:top w:val="nil"/>
              <w:left w:val="nil"/>
              <w:bottom w:val="nil"/>
              <w:right w:val="nil"/>
            </w:tcBorders>
            <w:shd w:val="clear" w:color="auto" w:fill="auto"/>
            <w:noWrap/>
            <w:vAlign w:val="center"/>
          </w:tcPr>
          <w:p w14:paraId="3F4C8E37"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hAnsi="Times New Roman" w:cs="Times New Roman"/>
                <w:i/>
                <w:color w:val="000000"/>
                <w:sz w:val="20"/>
                <w:szCs w:val="20"/>
              </w:rPr>
              <w:t>Gender</w:t>
            </w:r>
          </w:p>
        </w:tc>
        <w:tc>
          <w:tcPr>
            <w:tcW w:w="973" w:type="pct"/>
            <w:tcBorders>
              <w:top w:val="nil"/>
              <w:left w:val="nil"/>
              <w:bottom w:val="nil"/>
              <w:right w:val="nil"/>
            </w:tcBorders>
            <w:shd w:val="clear" w:color="auto" w:fill="auto"/>
            <w:vAlign w:val="center"/>
          </w:tcPr>
          <w:p w14:paraId="76F8A47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-0.0087</w:t>
            </w:r>
          </w:p>
        </w:tc>
        <w:tc>
          <w:tcPr>
            <w:tcW w:w="971" w:type="pct"/>
            <w:tcBorders>
              <w:top w:val="nil"/>
              <w:left w:val="nil"/>
              <w:bottom w:val="nil"/>
              <w:right w:val="nil"/>
            </w:tcBorders>
            <w:vAlign w:val="center"/>
          </w:tcPr>
          <w:p w14:paraId="3BC9D32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0.11</w:t>
            </w:r>
          </w:p>
        </w:tc>
        <w:tc>
          <w:tcPr>
            <w:tcW w:w="971" w:type="pct"/>
            <w:tcBorders>
              <w:top w:val="nil"/>
              <w:left w:val="nil"/>
              <w:bottom w:val="nil"/>
              <w:right w:val="nil"/>
            </w:tcBorders>
            <w:vAlign w:val="center"/>
          </w:tcPr>
          <w:p w14:paraId="48B55C8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-0.018</w:t>
            </w:r>
          </w:p>
        </w:tc>
        <w:tc>
          <w:tcPr>
            <w:tcW w:w="971" w:type="pct"/>
            <w:tcBorders>
              <w:top w:val="nil"/>
              <w:left w:val="nil"/>
              <w:bottom w:val="nil"/>
              <w:right w:val="nil"/>
            </w:tcBorders>
            <w:vAlign w:val="center"/>
          </w:tcPr>
          <w:p w14:paraId="70AA673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0.13</w:t>
            </w:r>
          </w:p>
        </w:tc>
      </w:tr>
      <w:tr w:rsidR="0089544F" w:rsidRPr="00263C50" w14:paraId="334AE8AB" w14:textId="77777777" w:rsidTr="005668E0">
        <w:trPr>
          <w:trHeight w:val="288"/>
          <w:jc w:val="center"/>
        </w:trPr>
        <w:tc>
          <w:tcPr>
            <w:tcW w:w="1114" w:type="pct"/>
            <w:tcBorders>
              <w:top w:val="nil"/>
              <w:left w:val="nil"/>
              <w:bottom w:val="nil"/>
              <w:right w:val="nil"/>
            </w:tcBorders>
            <w:shd w:val="clear" w:color="auto" w:fill="auto"/>
            <w:noWrap/>
            <w:vAlign w:val="center"/>
          </w:tcPr>
          <w:p w14:paraId="4154BD64"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973" w:type="pct"/>
            <w:tcBorders>
              <w:top w:val="nil"/>
              <w:left w:val="nil"/>
              <w:bottom w:val="nil"/>
              <w:right w:val="nil"/>
            </w:tcBorders>
            <w:shd w:val="clear" w:color="auto" w:fill="auto"/>
            <w:vAlign w:val="center"/>
          </w:tcPr>
          <w:p w14:paraId="6AF285A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(-0.26)</w:t>
            </w:r>
          </w:p>
        </w:tc>
        <w:tc>
          <w:tcPr>
            <w:tcW w:w="971" w:type="pct"/>
            <w:tcBorders>
              <w:top w:val="nil"/>
              <w:left w:val="nil"/>
              <w:bottom w:val="nil"/>
              <w:right w:val="nil"/>
            </w:tcBorders>
            <w:vAlign w:val="center"/>
          </w:tcPr>
          <w:p w14:paraId="74FF7B0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(0.94)</w:t>
            </w:r>
          </w:p>
        </w:tc>
        <w:tc>
          <w:tcPr>
            <w:tcW w:w="971" w:type="pct"/>
            <w:tcBorders>
              <w:top w:val="nil"/>
              <w:left w:val="nil"/>
              <w:bottom w:val="nil"/>
              <w:right w:val="nil"/>
            </w:tcBorders>
            <w:vAlign w:val="center"/>
          </w:tcPr>
          <w:p w14:paraId="0820213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(-0.53)</w:t>
            </w:r>
          </w:p>
        </w:tc>
        <w:tc>
          <w:tcPr>
            <w:tcW w:w="971" w:type="pct"/>
            <w:tcBorders>
              <w:top w:val="nil"/>
              <w:left w:val="nil"/>
              <w:bottom w:val="nil"/>
              <w:right w:val="nil"/>
            </w:tcBorders>
            <w:vAlign w:val="center"/>
          </w:tcPr>
          <w:p w14:paraId="53A6710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(0.87)</w:t>
            </w:r>
          </w:p>
        </w:tc>
      </w:tr>
      <w:tr w:rsidR="0089544F" w:rsidRPr="00263C50" w14:paraId="5D3716BA" w14:textId="77777777" w:rsidTr="005668E0">
        <w:trPr>
          <w:trHeight w:val="288"/>
          <w:jc w:val="center"/>
        </w:trPr>
        <w:tc>
          <w:tcPr>
            <w:tcW w:w="1114" w:type="pct"/>
            <w:tcBorders>
              <w:top w:val="nil"/>
              <w:left w:val="nil"/>
              <w:bottom w:val="nil"/>
              <w:right w:val="nil"/>
            </w:tcBorders>
            <w:shd w:val="clear" w:color="auto" w:fill="auto"/>
            <w:noWrap/>
            <w:vAlign w:val="center"/>
          </w:tcPr>
          <w:p w14:paraId="5BCCBAC4"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hAnsi="Times New Roman" w:cs="Times New Roman"/>
                <w:i/>
                <w:color w:val="000000"/>
                <w:sz w:val="20"/>
                <w:szCs w:val="20"/>
              </w:rPr>
              <w:t>Age</w:t>
            </w:r>
          </w:p>
        </w:tc>
        <w:tc>
          <w:tcPr>
            <w:tcW w:w="973" w:type="pct"/>
            <w:tcBorders>
              <w:top w:val="nil"/>
              <w:left w:val="nil"/>
              <w:bottom w:val="nil"/>
              <w:right w:val="nil"/>
            </w:tcBorders>
            <w:shd w:val="clear" w:color="auto" w:fill="auto"/>
            <w:vAlign w:val="center"/>
          </w:tcPr>
          <w:p w14:paraId="5825D87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0.040</w:t>
            </w:r>
          </w:p>
        </w:tc>
        <w:tc>
          <w:tcPr>
            <w:tcW w:w="971" w:type="pct"/>
            <w:tcBorders>
              <w:top w:val="nil"/>
              <w:left w:val="nil"/>
              <w:bottom w:val="nil"/>
              <w:right w:val="nil"/>
            </w:tcBorders>
            <w:vAlign w:val="center"/>
          </w:tcPr>
          <w:p w14:paraId="3EEDBF8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-0.067</w:t>
            </w:r>
          </w:p>
        </w:tc>
        <w:tc>
          <w:tcPr>
            <w:tcW w:w="971" w:type="pct"/>
            <w:tcBorders>
              <w:top w:val="nil"/>
              <w:left w:val="nil"/>
              <w:bottom w:val="nil"/>
              <w:right w:val="nil"/>
            </w:tcBorders>
            <w:vAlign w:val="center"/>
          </w:tcPr>
          <w:p w14:paraId="41D921F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0.039</w:t>
            </w:r>
          </w:p>
        </w:tc>
        <w:tc>
          <w:tcPr>
            <w:tcW w:w="971" w:type="pct"/>
            <w:tcBorders>
              <w:top w:val="nil"/>
              <w:left w:val="nil"/>
              <w:bottom w:val="nil"/>
              <w:right w:val="nil"/>
            </w:tcBorders>
            <w:vAlign w:val="center"/>
          </w:tcPr>
          <w:p w14:paraId="41F7DF1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-0.046</w:t>
            </w:r>
          </w:p>
        </w:tc>
      </w:tr>
      <w:tr w:rsidR="0089544F" w:rsidRPr="00263C50" w14:paraId="384E5674" w14:textId="77777777" w:rsidTr="005668E0">
        <w:trPr>
          <w:trHeight w:val="288"/>
          <w:jc w:val="center"/>
        </w:trPr>
        <w:tc>
          <w:tcPr>
            <w:tcW w:w="1114" w:type="pct"/>
            <w:tcBorders>
              <w:top w:val="nil"/>
              <w:left w:val="nil"/>
              <w:bottom w:val="nil"/>
              <w:right w:val="nil"/>
            </w:tcBorders>
            <w:shd w:val="clear" w:color="auto" w:fill="auto"/>
            <w:noWrap/>
            <w:vAlign w:val="center"/>
          </w:tcPr>
          <w:p w14:paraId="256FCA71"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973" w:type="pct"/>
            <w:tcBorders>
              <w:top w:val="nil"/>
              <w:left w:val="nil"/>
              <w:bottom w:val="nil"/>
              <w:right w:val="nil"/>
            </w:tcBorders>
            <w:shd w:val="clear" w:color="auto" w:fill="auto"/>
            <w:vAlign w:val="center"/>
          </w:tcPr>
          <w:p w14:paraId="4CB627F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(1.53)</w:t>
            </w:r>
          </w:p>
        </w:tc>
        <w:tc>
          <w:tcPr>
            <w:tcW w:w="971" w:type="pct"/>
            <w:tcBorders>
              <w:top w:val="nil"/>
              <w:left w:val="nil"/>
              <w:bottom w:val="nil"/>
              <w:right w:val="nil"/>
            </w:tcBorders>
            <w:vAlign w:val="center"/>
          </w:tcPr>
          <w:p w14:paraId="0328238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(-0.78)</w:t>
            </w:r>
          </w:p>
        </w:tc>
        <w:tc>
          <w:tcPr>
            <w:tcW w:w="971" w:type="pct"/>
            <w:tcBorders>
              <w:top w:val="nil"/>
              <w:left w:val="nil"/>
              <w:bottom w:val="nil"/>
              <w:right w:val="nil"/>
            </w:tcBorders>
            <w:vAlign w:val="center"/>
          </w:tcPr>
          <w:p w14:paraId="35E86C2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(1.54)</w:t>
            </w:r>
          </w:p>
        </w:tc>
        <w:tc>
          <w:tcPr>
            <w:tcW w:w="971" w:type="pct"/>
            <w:tcBorders>
              <w:top w:val="nil"/>
              <w:left w:val="nil"/>
              <w:bottom w:val="nil"/>
              <w:right w:val="nil"/>
            </w:tcBorders>
            <w:vAlign w:val="center"/>
          </w:tcPr>
          <w:p w14:paraId="3089FA2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(-0.43)</w:t>
            </w:r>
          </w:p>
        </w:tc>
      </w:tr>
      <w:tr w:rsidR="0089544F" w:rsidRPr="00263C50" w14:paraId="52812E88" w14:textId="77777777" w:rsidTr="005668E0">
        <w:trPr>
          <w:trHeight w:val="288"/>
          <w:jc w:val="center"/>
        </w:trPr>
        <w:tc>
          <w:tcPr>
            <w:tcW w:w="1114" w:type="pct"/>
            <w:tcBorders>
              <w:top w:val="nil"/>
              <w:left w:val="nil"/>
              <w:bottom w:val="nil"/>
              <w:right w:val="nil"/>
            </w:tcBorders>
            <w:shd w:val="clear" w:color="auto" w:fill="auto"/>
            <w:noWrap/>
            <w:vAlign w:val="center"/>
          </w:tcPr>
          <w:p w14:paraId="30576108"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WrkExp</w:t>
            </w:r>
            <w:proofErr w:type="spellEnd"/>
          </w:p>
        </w:tc>
        <w:tc>
          <w:tcPr>
            <w:tcW w:w="973" w:type="pct"/>
            <w:tcBorders>
              <w:top w:val="nil"/>
              <w:left w:val="nil"/>
              <w:bottom w:val="nil"/>
              <w:right w:val="nil"/>
            </w:tcBorders>
            <w:shd w:val="clear" w:color="auto" w:fill="auto"/>
            <w:vAlign w:val="center"/>
          </w:tcPr>
          <w:p w14:paraId="23322EE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-0.084**</w:t>
            </w:r>
          </w:p>
        </w:tc>
        <w:tc>
          <w:tcPr>
            <w:tcW w:w="971" w:type="pct"/>
            <w:tcBorders>
              <w:top w:val="nil"/>
              <w:left w:val="nil"/>
              <w:bottom w:val="nil"/>
              <w:right w:val="nil"/>
            </w:tcBorders>
            <w:vAlign w:val="center"/>
          </w:tcPr>
          <w:p w14:paraId="573EE45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0.099</w:t>
            </w:r>
          </w:p>
        </w:tc>
        <w:tc>
          <w:tcPr>
            <w:tcW w:w="971" w:type="pct"/>
            <w:tcBorders>
              <w:top w:val="nil"/>
              <w:left w:val="nil"/>
              <w:bottom w:val="nil"/>
              <w:right w:val="nil"/>
            </w:tcBorders>
            <w:vAlign w:val="center"/>
          </w:tcPr>
          <w:p w14:paraId="22CB61F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-0.087**</w:t>
            </w:r>
          </w:p>
        </w:tc>
        <w:tc>
          <w:tcPr>
            <w:tcW w:w="971" w:type="pct"/>
            <w:tcBorders>
              <w:top w:val="nil"/>
              <w:left w:val="nil"/>
              <w:bottom w:val="nil"/>
              <w:right w:val="nil"/>
            </w:tcBorders>
            <w:vAlign w:val="center"/>
          </w:tcPr>
          <w:p w14:paraId="6F7ABBB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0.16</w:t>
            </w:r>
          </w:p>
        </w:tc>
      </w:tr>
      <w:tr w:rsidR="0089544F" w:rsidRPr="00263C50" w14:paraId="5143A1E2" w14:textId="77777777" w:rsidTr="005668E0">
        <w:trPr>
          <w:trHeight w:val="288"/>
          <w:jc w:val="center"/>
        </w:trPr>
        <w:tc>
          <w:tcPr>
            <w:tcW w:w="1114" w:type="pct"/>
            <w:tcBorders>
              <w:top w:val="nil"/>
              <w:left w:val="nil"/>
              <w:bottom w:val="nil"/>
              <w:right w:val="nil"/>
            </w:tcBorders>
            <w:shd w:val="clear" w:color="auto" w:fill="auto"/>
            <w:noWrap/>
            <w:vAlign w:val="center"/>
          </w:tcPr>
          <w:p w14:paraId="40E2EE66"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973" w:type="pct"/>
            <w:tcBorders>
              <w:top w:val="nil"/>
              <w:left w:val="nil"/>
              <w:bottom w:val="nil"/>
              <w:right w:val="nil"/>
            </w:tcBorders>
            <w:shd w:val="clear" w:color="auto" w:fill="auto"/>
            <w:vAlign w:val="center"/>
          </w:tcPr>
          <w:p w14:paraId="5CE0947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(-2.39)</w:t>
            </w:r>
          </w:p>
        </w:tc>
        <w:tc>
          <w:tcPr>
            <w:tcW w:w="971" w:type="pct"/>
            <w:tcBorders>
              <w:top w:val="nil"/>
              <w:left w:val="nil"/>
              <w:bottom w:val="nil"/>
              <w:right w:val="nil"/>
            </w:tcBorders>
            <w:vAlign w:val="center"/>
          </w:tcPr>
          <w:p w14:paraId="2EACC27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(0.63)</w:t>
            </w:r>
          </w:p>
        </w:tc>
        <w:tc>
          <w:tcPr>
            <w:tcW w:w="971" w:type="pct"/>
            <w:tcBorders>
              <w:top w:val="nil"/>
              <w:left w:val="nil"/>
              <w:bottom w:val="nil"/>
              <w:right w:val="nil"/>
            </w:tcBorders>
            <w:vAlign w:val="center"/>
          </w:tcPr>
          <w:p w14:paraId="34AE422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(-2.51)</w:t>
            </w:r>
          </w:p>
        </w:tc>
        <w:tc>
          <w:tcPr>
            <w:tcW w:w="971" w:type="pct"/>
            <w:tcBorders>
              <w:top w:val="nil"/>
              <w:left w:val="nil"/>
              <w:bottom w:val="nil"/>
              <w:right w:val="nil"/>
            </w:tcBorders>
            <w:vAlign w:val="center"/>
          </w:tcPr>
          <w:p w14:paraId="1C2BA41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(0.82)</w:t>
            </w:r>
          </w:p>
        </w:tc>
      </w:tr>
      <w:tr w:rsidR="0089544F" w:rsidRPr="00263C50" w14:paraId="1805DC67" w14:textId="77777777" w:rsidTr="005668E0">
        <w:trPr>
          <w:trHeight w:val="288"/>
          <w:jc w:val="center"/>
        </w:trPr>
        <w:tc>
          <w:tcPr>
            <w:tcW w:w="1114" w:type="pct"/>
            <w:tcBorders>
              <w:top w:val="nil"/>
              <w:left w:val="nil"/>
              <w:bottom w:val="nil"/>
              <w:right w:val="nil"/>
            </w:tcBorders>
            <w:shd w:val="clear" w:color="auto" w:fill="auto"/>
            <w:noWrap/>
            <w:vAlign w:val="center"/>
          </w:tcPr>
          <w:p w14:paraId="2AA64188"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PaperFile</w:t>
            </w:r>
            <w:proofErr w:type="spellEnd"/>
          </w:p>
        </w:tc>
        <w:tc>
          <w:tcPr>
            <w:tcW w:w="973" w:type="pct"/>
            <w:tcBorders>
              <w:top w:val="nil"/>
              <w:left w:val="nil"/>
              <w:bottom w:val="nil"/>
              <w:right w:val="nil"/>
            </w:tcBorders>
            <w:shd w:val="clear" w:color="auto" w:fill="auto"/>
            <w:vAlign w:val="center"/>
          </w:tcPr>
          <w:p w14:paraId="472CBD7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0.0030</w:t>
            </w:r>
          </w:p>
        </w:tc>
        <w:tc>
          <w:tcPr>
            <w:tcW w:w="971" w:type="pct"/>
            <w:tcBorders>
              <w:top w:val="nil"/>
              <w:left w:val="nil"/>
              <w:bottom w:val="nil"/>
              <w:right w:val="nil"/>
            </w:tcBorders>
            <w:vAlign w:val="center"/>
          </w:tcPr>
          <w:p w14:paraId="1A6E88B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0.58***</w:t>
            </w:r>
          </w:p>
        </w:tc>
        <w:tc>
          <w:tcPr>
            <w:tcW w:w="971" w:type="pct"/>
            <w:tcBorders>
              <w:top w:val="nil"/>
              <w:left w:val="nil"/>
              <w:bottom w:val="nil"/>
              <w:right w:val="nil"/>
            </w:tcBorders>
            <w:vAlign w:val="center"/>
          </w:tcPr>
          <w:p w14:paraId="1D802E6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-0.0040</w:t>
            </w:r>
          </w:p>
        </w:tc>
        <w:tc>
          <w:tcPr>
            <w:tcW w:w="971" w:type="pct"/>
            <w:tcBorders>
              <w:top w:val="nil"/>
              <w:left w:val="nil"/>
              <w:bottom w:val="nil"/>
              <w:right w:val="nil"/>
            </w:tcBorders>
            <w:vAlign w:val="center"/>
          </w:tcPr>
          <w:p w14:paraId="597FD47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0.60***</w:t>
            </w:r>
          </w:p>
        </w:tc>
      </w:tr>
      <w:tr w:rsidR="0089544F" w:rsidRPr="00263C50" w14:paraId="515F1460" w14:textId="77777777" w:rsidTr="005668E0">
        <w:trPr>
          <w:trHeight w:val="288"/>
          <w:jc w:val="center"/>
        </w:trPr>
        <w:tc>
          <w:tcPr>
            <w:tcW w:w="1114" w:type="pct"/>
            <w:tcBorders>
              <w:top w:val="nil"/>
              <w:left w:val="nil"/>
              <w:bottom w:val="nil"/>
              <w:right w:val="nil"/>
            </w:tcBorders>
            <w:shd w:val="clear" w:color="auto" w:fill="auto"/>
            <w:noWrap/>
            <w:vAlign w:val="center"/>
          </w:tcPr>
          <w:p w14:paraId="33E51DBB"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973" w:type="pct"/>
            <w:tcBorders>
              <w:top w:val="nil"/>
              <w:left w:val="nil"/>
              <w:bottom w:val="nil"/>
              <w:right w:val="nil"/>
            </w:tcBorders>
            <w:shd w:val="clear" w:color="auto" w:fill="auto"/>
            <w:vAlign w:val="center"/>
          </w:tcPr>
          <w:p w14:paraId="77B25F4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(0.050)</w:t>
            </w:r>
          </w:p>
        </w:tc>
        <w:tc>
          <w:tcPr>
            <w:tcW w:w="971" w:type="pct"/>
            <w:tcBorders>
              <w:top w:val="nil"/>
              <w:left w:val="nil"/>
              <w:bottom w:val="nil"/>
              <w:right w:val="nil"/>
            </w:tcBorders>
            <w:vAlign w:val="center"/>
          </w:tcPr>
          <w:p w14:paraId="10FD360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(3.75)</w:t>
            </w:r>
          </w:p>
        </w:tc>
        <w:tc>
          <w:tcPr>
            <w:tcW w:w="971" w:type="pct"/>
            <w:tcBorders>
              <w:top w:val="nil"/>
              <w:left w:val="nil"/>
              <w:bottom w:val="nil"/>
              <w:right w:val="nil"/>
            </w:tcBorders>
            <w:vAlign w:val="center"/>
          </w:tcPr>
          <w:p w14:paraId="5D0E764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(-0.066)</w:t>
            </w:r>
          </w:p>
        </w:tc>
        <w:tc>
          <w:tcPr>
            <w:tcW w:w="971" w:type="pct"/>
            <w:tcBorders>
              <w:top w:val="nil"/>
              <w:left w:val="nil"/>
              <w:bottom w:val="nil"/>
              <w:right w:val="nil"/>
            </w:tcBorders>
            <w:vAlign w:val="center"/>
          </w:tcPr>
          <w:p w14:paraId="0EDD0D9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(3.06)</w:t>
            </w:r>
          </w:p>
        </w:tc>
      </w:tr>
      <w:tr w:rsidR="0089544F" w:rsidRPr="00263C50" w14:paraId="1044C7DA" w14:textId="77777777" w:rsidTr="005668E0">
        <w:trPr>
          <w:trHeight w:val="288"/>
          <w:jc w:val="center"/>
        </w:trPr>
        <w:tc>
          <w:tcPr>
            <w:tcW w:w="1114" w:type="pct"/>
            <w:tcBorders>
              <w:top w:val="nil"/>
              <w:left w:val="nil"/>
              <w:bottom w:val="nil"/>
              <w:right w:val="nil"/>
            </w:tcBorders>
            <w:shd w:val="clear" w:color="auto" w:fill="auto"/>
            <w:noWrap/>
            <w:vAlign w:val="center"/>
          </w:tcPr>
          <w:p w14:paraId="479D7B65"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SoftwareFile</w:t>
            </w:r>
            <w:proofErr w:type="spellEnd"/>
          </w:p>
        </w:tc>
        <w:tc>
          <w:tcPr>
            <w:tcW w:w="973" w:type="pct"/>
            <w:tcBorders>
              <w:top w:val="nil"/>
              <w:left w:val="nil"/>
              <w:bottom w:val="nil"/>
              <w:right w:val="nil"/>
            </w:tcBorders>
            <w:shd w:val="clear" w:color="auto" w:fill="auto"/>
            <w:vAlign w:val="center"/>
          </w:tcPr>
          <w:p w14:paraId="7F93A75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0.070*</w:t>
            </w:r>
          </w:p>
        </w:tc>
        <w:tc>
          <w:tcPr>
            <w:tcW w:w="971" w:type="pct"/>
            <w:tcBorders>
              <w:top w:val="nil"/>
              <w:left w:val="nil"/>
              <w:bottom w:val="nil"/>
              <w:right w:val="nil"/>
            </w:tcBorders>
            <w:vAlign w:val="center"/>
          </w:tcPr>
          <w:p w14:paraId="5E87595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0.29**</w:t>
            </w:r>
          </w:p>
        </w:tc>
        <w:tc>
          <w:tcPr>
            <w:tcW w:w="971" w:type="pct"/>
            <w:tcBorders>
              <w:top w:val="nil"/>
              <w:left w:val="nil"/>
              <w:bottom w:val="nil"/>
              <w:right w:val="nil"/>
            </w:tcBorders>
            <w:vAlign w:val="center"/>
          </w:tcPr>
          <w:p w14:paraId="097A78E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0.072*</w:t>
            </w:r>
          </w:p>
        </w:tc>
        <w:tc>
          <w:tcPr>
            <w:tcW w:w="971" w:type="pct"/>
            <w:tcBorders>
              <w:top w:val="nil"/>
              <w:left w:val="nil"/>
              <w:bottom w:val="nil"/>
              <w:right w:val="nil"/>
            </w:tcBorders>
            <w:vAlign w:val="center"/>
          </w:tcPr>
          <w:p w14:paraId="3A7E09A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0.36**</w:t>
            </w:r>
          </w:p>
        </w:tc>
      </w:tr>
      <w:tr w:rsidR="0089544F" w:rsidRPr="00263C50" w14:paraId="0A4510E0" w14:textId="77777777" w:rsidTr="005668E0">
        <w:trPr>
          <w:trHeight w:val="288"/>
          <w:jc w:val="center"/>
        </w:trPr>
        <w:tc>
          <w:tcPr>
            <w:tcW w:w="1114" w:type="pct"/>
            <w:tcBorders>
              <w:top w:val="nil"/>
              <w:left w:val="nil"/>
              <w:bottom w:val="nil"/>
              <w:right w:val="nil"/>
            </w:tcBorders>
            <w:shd w:val="clear" w:color="auto" w:fill="auto"/>
            <w:noWrap/>
            <w:vAlign w:val="center"/>
          </w:tcPr>
          <w:p w14:paraId="39B39F8E"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973" w:type="pct"/>
            <w:tcBorders>
              <w:top w:val="nil"/>
              <w:left w:val="nil"/>
              <w:bottom w:val="nil"/>
              <w:right w:val="nil"/>
            </w:tcBorders>
            <w:shd w:val="clear" w:color="auto" w:fill="auto"/>
            <w:vAlign w:val="center"/>
          </w:tcPr>
          <w:p w14:paraId="3AFCEE9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(1.72)</w:t>
            </w:r>
          </w:p>
        </w:tc>
        <w:tc>
          <w:tcPr>
            <w:tcW w:w="971" w:type="pct"/>
            <w:tcBorders>
              <w:top w:val="nil"/>
              <w:left w:val="nil"/>
              <w:bottom w:val="nil"/>
              <w:right w:val="nil"/>
            </w:tcBorders>
            <w:vAlign w:val="center"/>
          </w:tcPr>
          <w:p w14:paraId="145AE9A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(2.19)</w:t>
            </w:r>
          </w:p>
        </w:tc>
        <w:tc>
          <w:tcPr>
            <w:tcW w:w="971" w:type="pct"/>
            <w:tcBorders>
              <w:top w:val="nil"/>
              <w:left w:val="nil"/>
              <w:bottom w:val="nil"/>
              <w:right w:val="nil"/>
            </w:tcBorders>
            <w:vAlign w:val="center"/>
          </w:tcPr>
          <w:p w14:paraId="7EC3A09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(1.79)</w:t>
            </w:r>
          </w:p>
        </w:tc>
        <w:tc>
          <w:tcPr>
            <w:tcW w:w="971" w:type="pct"/>
            <w:tcBorders>
              <w:top w:val="nil"/>
              <w:left w:val="nil"/>
              <w:bottom w:val="nil"/>
              <w:right w:val="nil"/>
            </w:tcBorders>
            <w:vAlign w:val="center"/>
          </w:tcPr>
          <w:p w14:paraId="31F4754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(2.36)</w:t>
            </w:r>
          </w:p>
        </w:tc>
      </w:tr>
      <w:tr w:rsidR="0089544F" w:rsidRPr="00263C50" w14:paraId="7A2FBB87" w14:textId="77777777" w:rsidTr="005668E0">
        <w:trPr>
          <w:trHeight w:val="288"/>
          <w:jc w:val="center"/>
        </w:trPr>
        <w:tc>
          <w:tcPr>
            <w:tcW w:w="1114" w:type="pct"/>
            <w:tcBorders>
              <w:top w:val="nil"/>
              <w:left w:val="nil"/>
              <w:bottom w:val="nil"/>
              <w:right w:val="nil"/>
            </w:tcBorders>
            <w:shd w:val="clear" w:color="auto" w:fill="auto"/>
            <w:noWrap/>
            <w:vAlign w:val="center"/>
          </w:tcPr>
          <w:p w14:paraId="16A50532"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ProfFile</w:t>
            </w:r>
            <w:proofErr w:type="spellEnd"/>
          </w:p>
        </w:tc>
        <w:tc>
          <w:tcPr>
            <w:tcW w:w="973" w:type="pct"/>
            <w:tcBorders>
              <w:top w:val="nil"/>
              <w:left w:val="nil"/>
              <w:bottom w:val="nil"/>
              <w:right w:val="nil"/>
            </w:tcBorders>
            <w:shd w:val="clear" w:color="auto" w:fill="auto"/>
            <w:vAlign w:val="center"/>
          </w:tcPr>
          <w:p w14:paraId="53C4FBE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0.025</w:t>
            </w:r>
          </w:p>
        </w:tc>
        <w:tc>
          <w:tcPr>
            <w:tcW w:w="971" w:type="pct"/>
            <w:tcBorders>
              <w:top w:val="nil"/>
              <w:left w:val="nil"/>
              <w:bottom w:val="nil"/>
              <w:right w:val="nil"/>
            </w:tcBorders>
            <w:vAlign w:val="center"/>
          </w:tcPr>
          <w:p w14:paraId="47006AE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0.13</w:t>
            </w:r>
          </w:p>
        </w:tc>
        <w:tc>
          <w:tcPr>
            <w:tcW w:w="971" w:type="pct"/>
            <w:tcBorders>
              <w:top w:val="nil"/>
              <w:left w:val="nil"/>
              <w:bottom w:val="nil"/>
              <w:right w:val="nil"/>
            </w:tcBorders>
            <w:vAlign w:val="center"/>
          </w:tcPr>
          <w:p w14:paraId="7611797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0.020</w:t>
            </w:r>
          </w:p>
        </w:tc>
        <w:tc>
          <w:tcPr>
            <w:tcW w:w="971" w:type="pct"/>
            <w:tcBorders>
              <w:top w:val="nil"/>
              <w:left w:val="nil"/>
              <w:bottom w:val="nil"/>
              <w:right w:val="nil"/>
            </w:tcBorders>
            <w:vAlign w:val="center"/>
          </w:tcPr>
          <w:p w14:paraId="176E368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0.14</w:t>
            </w:r>
          </w:p>
        </w:tc>
      </w:tr>
      <w:tr w:rsidR="0089544F" w:rsidRPr="00263C50" w14:paraId="42B0F099" w14:textId="77777777" w:rsidTr="005668E0">
        <w:trPr>
          <w:trHeight w:val="288"/>
          <w:jc w:val="center"/>
        </w:trPr>
        <w:tc>
          <w:tcPr>
            <w:tcW w:w="1114" w:type="pct"/>
            <w:tcBorders>
              <w:top w:val="nil"/>
              <w:left w:val="nil"/>
              <w:bottom w:val="nil"/>
              <w:right w:val="nil"/>
            </w:tcBorders>
            <w:shd w:val="clear" w:color="auto" w:fill="auto"/>
            <w:noWrap/>
            <w:vAlign w:val="center"/>
          </w:tcPr>
          <w:p w14:paraId="143A10FF"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973" w:type="pct"/>
            <w:tcBorders>
              <w:top w:val="nil"/>
              <w:left w:val="nil"/>
              <w:bottom w:val="nil"/>
              <w:right w:val="nil"/>
            </w:tcBorders>
            <w:shd w:val="clear" w:color="auto" w:fill="auto"/>
            <w:vAlign w:val="center"/>
          </w:tcPr>
          <w:p w14:paraId="12AAD04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(0.54)</w:t>
            </w:r>
          </w:p>
        </w:tc>
        <w:tc>
          <w:tcPr>
            <w:tcW w:w="971" w:type="pct"/>
            <w:tcBorders>
              <w:top w:val="nil"/>
              <w:left w:val="nil"/>
              <w:bottom w:val="nil"/>
              <w:right w:val="nil"/>
            </w:tcBorders>
            <w:vAlign w:val="center"/>
          </w:tcPr>
          <w:p w14:paraId="3E0595E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(0.86)</w:t>
            </w:r>
          </w:p>
        </w:tc>
        <w:tc>
          <w:tcPr>
            <w:tcW w:w="971" w:type="pct"/>
            <w:tcBorders>
              <w:top w:val="nil"/>
              <w:left w:val="nil"/>
              <w:bottom w:val="nil"/>
              <w:right w:val="nil"/>
            </w:tcBorders>
            <w:vAlign w:val="center"/>
          </w:tcPr>
          <w:p w14:paraId="7755864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(0.41)</w:t>
            </w:r>
          </w:p>
        </w:tc>
        <w:tc>
          <w:tcPr>
            <w:tcW w:w="971" w:type="pct"/>
            <w:tcBorders>
              <w:top w:val="nil"/>
              <w:left w:val="nil"/>
              <w:bottom w:val="nil"/>
              <w:right w:val="nil"/>
            </w:tcBorders>
            <w:vAlign w:val="center"/>
          </w:tcPr>
          <w:p w14:paraId="270D423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(0.78)</w:t>
            </w:r>
          </w:p>
        </w:tc>
      </w:tr>
      <w:tr w:rsidR="0089544F" w:rsidRPr="00263C50" w14:paraId="22EA118D" w14:textId="77777777" w:rsidTr="005668E0">
        <w:trPr>
          <w:trHeight w:val="288"/>
          <w:jc w:val="center"/>
        </w:trPr>
        <w:tc>
          <w:tcPr>
            <w:tcW w:w="1114" w:type="pct"/>
            <w:tcBorders>
              <w:top w:val="nil"/>
              <w:left w:val="nil"/>
              <w:bottom w:val="nil"/>
              <w:right w:val="nil"/>
            </w:tcBorders>
            <w:shd w:val="clear" w:color="auto" w:fill="auto"/>
            <w:noWrap/>
            <w:vAlign w:val="center"/>
          </w:tcPr>
          <w:p w14:paraId="190AEA29"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ParentFile</w:t>
            </w:r>
            <w:proofErr w:type="spellEnd"/>
          </w:p>
        </w:tc>
        <w:tc>
          <w:tcPr>
            <w:tcW w:w="973" w:type="pct"/>
            <w:tcBorders>
              <w:top w:val="nil"/>
              <w:left w:val="nil"/>
              <w:bottom w:val="nil"/>
              <w:right w:val="nil"/>
            </w:tcBorders>
            <w:shd w:val="clear" w:color="auto" w:fill="auto"/>
            <w:vAlign w:val="center"/>
          </w:tcPr>
          <w:p w14:paraId="52C5F2C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0.031</w:t>
            </w:r>
          </w:p>
        </w:tc>
        <w:tc>
          <w:tcPr>
            <w:tcW w:w="971" w:type="pct"/>
            <w:tcBorders>
              <w:top w:val="nil"/>
              <w:left w:val="nil"/>
              <w:bottom w:val="nil"/>
              <w:right w:val="nil"/>
            </w:tcBorders>
            <w:vAlign w:val="center"/>
          </w:tcPr>
          <w:p w14:paraId="0F00560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0.048</w:t>
            </w:r>
          </w:p>
        </w:tc>
        <w:tc>
          <w:tcPr>
            <w:tcW w:w="971" w:type="pct"/>
            <w:tcBorders>
              <w:top w:val="nil"/>
              <w:left w:val="nil"/>
              <w:bottom w:val="nil"/>
              <w:right w:val="nil"/>
            </w:tcBorders>
            <w:vAlign w:val="center"/>
          </w:tcPr>
          <w:p w14:paraId="1AF0FCD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0.033</w:t>
            </w:r>
          </w:p>
        </w:tc>
        <w:tc>
          <w:tcPr>
            <w:tcW w:w="971" w:type="pct"/>
            <w:tcBorders>
              <w:top w:val="nil"/>
              <w:left w:val="nil"/>
              <w:bottom w:val="nil"/>
              <w:right w:val="nil"/>
            </w:tcBorders>
            <w:vAlign w:val="center"/>
          </w:tcPr>
          <w:p w14:paraId="2A1FD98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0.099</w:t>
            </w:r>
          </w:p>
        </w:tc>
      </w:tr>
      <w:tr w:rsidR="0089544F" w:rsidRPr="00263C50" w14:paraId="1ADD60CE" w14:textId="77777777" w:rsidTr="005668E0">
        <w:trPr>
          <w:trHeight w:val="288"/>
          <w:jc w:val="center"/>
        </w:trPr>
        <w:tc>
          <w:tcPr>
            <w:tcW w:w="1114" w:type="pct"/>
            <w:tcBorders>
              <w:top w:val="nil"/>
              <w:left w:val="nil"/>
              <w:bottom w:val="nil"/>
              <w:right w:val="nil"/>
            </w:tcBorders>
            <w:shd w:val="clear" w:color="auto" w:fill="auto"/>
            <w:noWrap/>
            <w:vAlign w:val="center"/>
          </w:tcPr>
          <w:p w14:paraId="08B01675"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973" w:type="pct"/>
            <w:tcBorders>
              <w:top w:val="nil"/>
              <w:left w:val="nil"/>
              <w:bottom w:val="nil"/>
              <w:right w:val="nil"/>
            </w:tcBorders>
            <w:shd w:val="clear" w:color="auto" w:fill="auto"/>
            <w:vAlign w:val="center"/>
          </w:tcPr>
          <w:p w14:paraId="665A3DE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(0.82)</w:t>
            </w:r>
          </w:p>
        </w:tc>
        <w:tc>
          <w:tcPr>
            <w:tcW w:w="971" w:type="pct"/>
            <w:tcBorders>
              <w:top w:val="nil"/>
              <w:left w:val="nil"/>
              <w:bottom w:val="nil"/>
              <w:right w:val="nil"/>
            </w:tcBorders>
            <w:vAlign w:val="center"/>
          </w:tcPr>
          <w:p w14:paraId="2F049D2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(0.36)</w:t>
            </w:r>
          </w:p>
        </w:tc>
        <w:tc>
          <w:tcPr>
            <w:tcW w:w="971" w:type="pct"/>
            <w:tcBorders>
              <w:top w:val="nil"/>
              <w:left w:val="nil"/>
              <w:bottom w:val="nil"/>
              <w:right w:val="nil"/>
            </w:tcBorders>
            <w:vAlign w:val="center"/>
          </w:tcPr>
          <w:p w14:paraId="5F0CE44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(0.92)</w:t>
            </w:r>
          </w:p>
        </w:tc>
        <w:tc>
          <w:tcPr>
            <w:tcW w:w="971" w:type="pct"/>
            <w:tcBorders>
              <w:top w:val="nil"/>
              <w:left w:val="nil"/>
              <w:bottom w:val="nil"/>
              <w:right w:val="nil"/>
            </w:tcBorders>
            <w:vAlign w:val="center"/>
          </w:tcPr>
          <w:p w14:paraId="0C9DC00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(0.59)</w:t>
            </w:r>
          </w:p>
        </w:tc>
      </w:tr>
      <w:tr w:rsidR="0089544F" w:rsidRPr="00263C50" w14:paraId="4D246841" w14:textId="77777777" w:rsidTr="005668E0">
        <w:trPr>
          <w:trHeight w:val="288"/>
          <w:jc w:val="center"/>
        </w:trPr>
        <w:tc>
          <w:tcPr>
            <w:tcW w:w="1114" w:type="pct"/>
            <w:tcBorders>
              <w:top w:val="nil"/>
              <w:left w:val="nil"/>
              <w:bottom w:val="nil"/>
              <w:right w:val="nil"/>
            </w:tcBorders>
            <w:shd w:val="clear" w:color="auto" w:fill="auto"/>
            <w:noWrap/>
            <w:vAlign w:val="center"/>
          </w:tcPr>
          <w:p w14:paraId="39D78D83"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hAnsi="Times New Roman" w:cs="Times New Roman"/>
                <w:i/>
                <w:color w:val="000000"/>
                <w:sz w:val="20"/>
                <w:szCs w:val="20"/>
              </w:rPr>
              <w:t>Family</w:t>
            </w:r>
          </w:p>
        </w:tc>
        <w:tc>
          <w:tcPr>
            <w:tcW w:w="973" w:type="pct"/>
            <w:tcBorders>
              <w:top w:val="nil"/>
              <w:left w:val="nil"/>
              <w:bottom w:val="nil"/>
              <w:right w:val="nil"/>
            </w:tcBorders>
            <w:shd w:val="clear" w:color="auto" w:fill="auto"/>
            <w:vAlign w:val="center"/>
          </w:tcPr>
          <w:p w14:paraId="1D5CA9C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0.014</w:t>
            </w:r>
          </w:p>
        </w:tc>
        <w:tc>
          <w:tcPr>
            <w:tcW w:w="971" w:type="pct"/>
            <w:tcBorders>
              <w:top w:val="nil"/>
              <w:left w:val="nil"/>
              <w:bottom w:val="nil"/>
              <w:right w:val="nil"/>
            </w:tcBorders>
            <w:vAlign w:val="center"/>
          </w:tcPr>
          <w:p w14:paraId="06EA8400"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-0.037</w:t>
            </w:r>
          </w:p>
        </w:tc>
        <w:tc>
          <w:tcPr>
            <w:tcW w:w="971" w:type="pct"/>
            <w:tcBorders>
              <w:top w:val="nil"/>
              <w:left w:val="nil"/>
              <w:bottom w:val="nil"/>
              <w:right w:val="nil"/>
            </w:tcBorders>
            <w:vAlign w:val="center"/>
          </w:tcPr>
          <w:p w14:paraId="6DD6B0C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0.016</w:t>
            </w:r>
          </w:p>
        </w:tc>
        <w:tc>
          <w:tcPr>
            <w:tcW w:w="971" w:type="pct"/>
            <w:tcBorders>
              <w:top w:val="nil"/>
              <w:left w:val="nil"/>
              <w:bottom w:val="nil"/>
              <w:right w:val="nil"/>
            </w:tcBorders>
            <w:vAlign w:val="center"/>
          </w:tcPr>
          <w:p w14:paraId="604834F4"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-0.070</w:t>
            </w:r>
          </w:p>
        </w:tc>
      </w:tr>
      <w:tr w:rsidR="0089544F" w:rsidRPr="00263C50" w14:paraId="61EBD764" w14:textId="77777777" w:rsidTr="005668E0">
        <w:trPr>
          <w:trHeight w:val="288"/>
          <w:jc w:val="center"/>
        </w:trPr>
        <w:tc>
          <w:tcPr>
            <w:tcW w:w="1114" w:type="pct"/>
            <w:tcBorders>
              <w:top w:val="nil"/>
              <w:left w:val="nil"/>
              <w:bottom w:val="nil"/>
              <w:right w:val="nil"/>
            </w:tcBorders>
            <w:shd w:val="clear" w:color="auto" w:fill="auto"/>
            <w:noWrap/>
            <w:vAlign w:val="center"/>
          </w:tcPr>
          <w:p w14:paraId="08C069DF"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973" w:type="pct"/>
            <w:tcBorders>
              <w:top w:val="nil"/>
              <w:left w:val="nil"/>
              <w:bottom w:val="nil"/>
              <w:right w:val="nil"/>
            </w:tcBorders>
            <w:shd w:val="clear" w:color="auto" w:fill="auto"/>
            <w:vAlign w:val="center"/>
          </w:tcPr>
          <w:p w14:paraId="58AA44D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(0.29)</w:t>
            </w:r>
          </w:p>
        </w:tc>
        <w:tc>
          <w:tcPr>
            <w:tcW w:w="971" w:type="pct"/>
            <w:tcBorders>
              <w:top w:val="nil"/>
              <w:left w:val="nil"/>
              <w:bottom w:val="nil"/>
              <w:right w:val="nil"/>
            </w:tcBorders>
            <w:vAlign w:val="center"/>
          </w:tcPr>
          <w:p w14:paraId="171FA1C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(-0.25)</w:t>
            </w:r>
          </w:p>
        </w:tc>
        <w:tc>
          <w:tcPr>
            <w:tcW w:w="971" w:type="pct"/>
            <w:tcBorders>
              <w:top w:val="nil"/>
              <w:left w:val="nil"/>
              <w:bottom w:val="nil"/>
              <w:right w:val="nil"/>
            </w:tcBorders>
            <w:vAlign w:val="center"/>
          </w:tcPr>
          <w:p w14:paraId="338D450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(0.34)</w:t>
            </w:r>
          </w:p>
        </w:tc>
        <w:tc>
          <w:tcPr>
            <w:tcW w:w="971" w:type="pct"/>
            <w:tcBorders>
              <w:top w:val="nil"/>
              <w:left w:val="nil"/>
              <w:bottom w:val="nil"/>
              <w:right w:val="nil"/>
            </w:tcBorders>
            <w:vAlign w:val="center"/>
          </w:tcPr>
          <w:p w14:paraId="4D9ED8B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(-0.38)</w:t>
            </w:r>
          </w:p>
        </w:tc>
      </w:tr>
      <w:tr w:rsidR="0089544F" w:rsidRPr="00263C50" w14:paraId="63E9B5FF" w14:textId="77777777" w:rsidTr="005668E0">
        <w:trPr>
          <w:trHeight w:val="288"/>
          <w:jc w:val="center"/>
        </w:trPr>
        <w:tc>
          <w:tcPr>
            <w:tcW w:w="1114" w:type="pct"/>
            <w:tcBorders>
              <w:top w:val="nil"/>
              <w:left w:val="nil"/>
              <w:bottom w:val="nil"/>
              <w:right w:val="nil"/>
            </w:tcBorders>
            <w:shd w:val="clear" w:color="auto" w:fill="auto"/>
            <w:noWrap/>
            <w:vAlign w:val="center"/>
          </w:tcPr>
          <w:p w14:paraId="2FB2F00B"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roofErr w:type="spellStart"/>
            <w:r w:rsidRPr="00263C50">
              <w:rPr>
                <w:rFonts w:ascii="Times New Roman" w:hAnsi="Times New Roman" w:cs="Times New Roman"/>
                <w:i/>
                <w:color w:val="000000"/>
                <w:sz w:val="20"/>
                <w:szCs w:val="20"/>
              </w:rPr>
              <w:t>FinExp</w:t>
            </w:r>
            <w:proofErr w:type="spellEnd"/>
          </w:p>
        </w:tc>
        <w:tc>
          <w:tcPr>
            <w:tcW w:w="973" w:type="pct"/>
            <w:tcBorders>
              <w:top w:val="nil"/>
              <w:left w:val="nil"/>
              <w:bottom w:val="nil"/>
              <w:right w:val="nil"/>
            </w:tcBorders>
            <w:shd w:val="clear" w:color="auto" w:fill="auto"/>
            <w:vAlign w:val="center"/>
          </w:tcPr>
          <w:p w14:paraId="7EAFB23B"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0.27***</w:t>
            </w:r>
          </w:p>
        </w:tc>
        <w:tc>
          <w:tcPr>
            <w:tcW w:w="971" w:type="pct"/>
            <w:tcBorders>
              <w:top w:val="nil"/>
              <w:left w:val="nil"/>
              <w:bottom w:val="nil"/>
              <w:right w:val="nil"/>
            </w:tcBorders>
            <w:vAlign w:val="center"/>
          </w:tcPr>
          <w:p w14:paraId="3555724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-0.48</w:t>
            </w:r>
          </w:p>
        </w:tc>
        <w:tc>
          <w:tcPr>
            <w:tcW w:w="971" w:type="pct"/>
            <w:tcBorders>
              <w:top w:val="nil"/>
              <w:left w:val="nil"/>
              <w:bottom w:val="nil"/>
              <w:right w:val="nil"/>
            </w:tcBorders>
            <w:vAlign w:val="center"/>
          </w:tcPr>
          <w:p w14:paraId="2A0DD68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0.41***</w:t>
            </w:r>
          </w:p>
        </w:tc>
        <w:tc>
          <w:tcPr>
            <w:tcW w:w="971" w:type="pct"/>
            <w:tcBorders>
              <w:top w:val="nil"/>
              <w:left w:val="nil"/>
              <w:bottom w:val="nil"/>
              <w:right w:val="nil"/>
            </w:tcBorders>
            <w:vAlign w:val="center"/>
          </w:tcPr>
          <w:p w14:paraId="6FECA102"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-0.76</w:t>
            </w:r>
          </w:p>
        </w:tc>
      </w:tr>
      <w:tr w:rsidR="0089544F" w:rsidRPr="00263C50" w14:paraId="5735BA4F" w14:textId="77777777" w:rsidTr="005668E0">
        <w:trPr>
          <w:trHeight w:val="288"/>
          <w:jc w:val="center"/>
        </w:trPr>
        <w:tc>
          <w:tcPr>
            <w:tcW w:w="1114" w:type="pct"/>
            <w:tcBorders>
              <w:top w:val="nil"/>
              <w:left w:val="nil"/>
              <w:bottom w:val="nil"/>
              <w:right w:val="nil"/>
            </w:tcBorders>
            <w:shd w:val="clear" w:color="auto" w:fill="auto"/>
            <w:noWrap/>
            <w:vAlign w:val="center"/>
          </w:tcPr>
          <w:p w14:paraId="17F7E39C"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973" w:type="pct"/>
            <w:tcBorders>
              <w:top w:val="nil"/>
              <w:left w:val="nil"/>
              <w:bottom w:val="nil"/>
              <w:right w:val="nil"/>
            </w:tcBorders>
            <w:shd w:val="clear" w:color="auto" w:fill="auto"/>
            <w:vAlign w:val="center"/>
          </w:tcPr>
          <w:p w14:paraId="1BE3A7B3"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(5.21)</w:t>
            </w:r>
          </w:p>
        </w:tc>
        <w:tc>
          <w:tcPr>
            <w:tcW w:w="971" w:type="pct"/>
            <w:tcBorders>
              <w:top w:val="nil"/>
              <w:left w:val="nil"/>
              <w:bottom w:val="nil"/>
              <w:right w:val="nil"/>
            </w:tcBorders>
            <w:vAlign w:val="center"/>
          </w:tcPr>
          <w:p w14:paraId="07A53135"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(-0.97)</w:t>
            </w:r>
          </w:p>
        </w:tc>
        <w:tc>
          <w:tcPr>
            <w:tcW w:w="971" w:type="pct"/>
            <w:tcBorders>
              <w:top w:val="nil"/>
              <w:left w:val="nil"/>
              <w:bottom w:val="nil"/>
              <w:right w:val="nil"/>
            </w:tcBorders>
            <w:vAlign w:val="center"/>
          </w:tcPr>
          <w:p w14:paraId="675D740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(3.96)</w:t>
            </w:r>
          </w:p>
        </w:tc>
        <w:tc>
          <w:tcPr>
            <w:tcW w:w="971" w:type="pct"/>
            <w:tcBorders>
              <w:top w:val="nil"/>
              <w:left w:val="nil"/>
              <w:bottom w:val="nil"/>
              <w:right w:val="nil"/>
            </w:tcBorders>
            <w:vAlign w:val="center"/>
          </w:tcPr>
          <w:p w14:paraId="073A009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(-1.23)</w:t>
            </w:r>
          </w:p>
        </w:tc>
      </w:tr>
      <w:tr w:rsidR="0089544F" w:rsidRPr="00263C50" w14:paraId="6A07E6C3" w14:textId="77777777" w:rsidTr="005668E0">
        <w:trPr>
          <w:trHeight w:val="288"/>
          <w:jc w:val="center"/>
        </w:trPr>
        <w:tc>
          <w:tcPr>
            <w:tcW w:w="1114" w:type="pct"/>
            <w:tcBorders>
              <w:top w:val="nil"/>
              <w:left w:val="nil"/>
              <w:bottom w:val="nil"/>
              <w:right w:val="nil"/>
            </w:tcBorders>
            <w:shd w:val="clear" w:color="auto" w:fill="auto"/>
            <w:noWrap/>
            <w:vAlign w:val="center"/>
          </w:tcPr>
          <w:p w14:paraId="4339428A"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hAnsi="Times New Roman" w:cs="Times New Roman"/>
                <w:i/>
                <w:color w:val="000000"/>
                <w:sz w:val="20"/>
                <w:szCs w:val="20"/>
              </w:rPr>
              <w:t>Income</w:t>
            </w:r>
          </w:p>
        </w:tc>
        <w:tc>
          <w:tcPr>
            <w:tcW w:w="973" w:type="pct"/>
            <w:tcBorders>
              <w:top w:val="nil"/>
              <w:left w:val="nil"/>
              <w:bottom w:val="nil"/>
              <w:right w:val="nil"/>
            </w:tcBorders>
            <w:shd w:val="clear" w:color="auto" w:fill="auto"/>
            <w:vAlign w:val="center"/>
          </w:tcPr>
          <w:p w14:paraId="06BA79C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0.0064</w:t>
            </w:r>
          </w:p>
        </w:tc>
        <w:tc>
          <w:tcPr>
            <w:tcW w:w="971" w:type="pct"/>
            <w:tcBorders>
              <w:top w:val="nil"/>
              <w:left w:val="nil"/>
              <w:bottom w:val="nil"/>
              <w:right w:val="nil"/>
            </w:tcBorders>
            <w:vAlign w:val="center"/>
          </w:tcPr>
          <w:p w14:paraId="3ADFAD3A"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-0.021</w:t>
            </w:r>
          </w:p>
        </w:tc>
        <w:tc>
          <w:tcPr>
            <w:tcW w:w="971" w:type="pct"/>
            <w:tcBorders>
              <w:top w:val="nil"/>
              <w:left w:val="nil"/>
              <w:bottom w:val="nil"/>
              <w:right w:val="nil"/>
            </w:tcBorders>
            <w:vAlign w:val="center"/>
          </w:tcPr>
          <w:p w14:paraId="3205584C"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0.0074</w:t>
            </w:r>
          </w:p>
        </w:tc>
        <w:tc>
          <w:tcPr>
            <w:tcW w:w="971" w:type="pct"/>
            <w:tcBorders>
              <w:top w:val="nil"/>
              <w:left w:val="nil"/>
              <w:bottom w:val="nil"/>
              <w:right w:val="nil"/>
            </w:tcBorders>
            <w:vAlign w:val="center"/>
          </w:tcPr>
          <w:p w14:paraId="1219275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-0.064</w:t>
            </w:r>
          </w:p>
        </w:tc>
      </w:tr>
      <w:tr w:rsidR="0089544F" w:rsidRPr="00263C50" w14:paraId="227D0F60" w14:textId="77777777" w:rsidTr="005668E0">
        <w:trPr>
          <w:trHeight w:val="288"/>
          <w:jc w:val="center"/>
        </w:trPr>
        <w:tc>
          <w:tcPr>
            <w:tcW w:w="1114" w:type="pct"/>
            <w:tcBorders>
              <w:top w:val="nil"/>
              <w:left w:val="nil"/>
              <w:bottom w:val="nil"/>
              <w:right w:val="nil"/>
            </w:tcBorders>
            <w:shd w:val="clear" w:color="auto" w:fill="auto"/>
            <w:noWrap/>
            <w:vAlign w:val="center"/>
          </w:tcPr>
          <w:p w14:paraId="4C2CA7B9" w14:textId="77777777" w:rsidR="0089544F" w:rsidRPr="00263C50" w:rsidRDefault="0089544F" w:rsidP="00186583">
            <w:pPr>
              <w:rPr>
                <w:rFonts w:ascii="Times New Roman" w:eastAsia="Times New Roman" w:hAnsi="Times New Roman" w:cs="Times New Roman"/>
                <w:i/>
                <w:color w:val="000000"/>
                <w:sz w:val="20"/>
                <w:szCs w:val="20"/>
                <w:lang w:val="en-US" w:eastAsia="zh-TW"/>
              </w:rPr>
            </w:pPr>
          </w:p>
        </w:tc>
        <w:tc>
          <w:tcPr>
            <w:tcW w:w="973" w:type="pct"/>
            <w:tcBorders>
              <w:top w:val="nil"/>
              <w:left w:val="nil"/>
              <w:bottom w:val="nil"/>
              <w:right w:val="nil"/>
            </w:tcBorders>
            <w:shd w:val="clear" w:color="auto" w:fill="auto"/>
            <w:vAlign w:val="center"/>
          </w:tcPr>
          <w:p w14:paraId="682B38B9"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(0.44)</w:t>
            </w:r>
          </w:p>
        </w:tc>
        <w:tc>
          <w:tcPr>
            <w:tcW w:w="971" w:type="pct"/>
            <w:tcBorders>
              <w:top w:val="nil"/>
              <w:left w:val="nil"/>
              <w:bottom w:val="nil"/>
              <w:right w:val="nil"/>
            </w:tcBorders>
            <w:vAlign w:val="center"/>
          </w:tcPr>
          <w:p w14:paraId="5D2C0D3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(-0.40)</w:t>
            </w:r>
          </w:p>
        </w:tc>
        <w:tc>
          <w:tcPr>
            <w:tcW w:w="971" w:type="pct"/>
            <w:tcBorders>
              <w:top w:val="nil"/>
              <w:left w:val="nil"/>
              <w:bottom w:val="nil"/>
              <w:right w:val="nil"/>
            </w:tcBorders>
            <w:vAlign w:val="center"/>
          </w:tcPr>
          <w:p w14:paraId="7E03C20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(0.51)</w:t>
            </w:r>
          </w:p>
        </w:tc>
        <w:tc>
          <w:tcPr>
            <w:tcW w:w="971" w:type="pct"/>
            <w:tcBorders>
              <w:top w:val="nil"/>
              <w:left w:val="nil"/>
              <w:bottom w:val="nil"/>
              <w:right w:val="nil"/>
            </w:tcBorders>
            <w:vAlign w:val="center"/>
          </w:tcPr>
          <w:p w14:paraId="7138936F"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(-0.94)</w:t>
            </w:r>
          </w:p>
        </w:tc>
      </w:tr>
      <w:tr w:rsidR="0089544F" w:rsidRPr="00263C50" w14:paraId="71A27561" w14:textId="77777777" w:rsidTr="005668E0">
        <w:trPr>
          <w:trHeight w:val="288"/>
          <w:jc w:val="center"/>
        </w:trPr>
        <w:tc>
          <w:tcPr>
            <w:tcW w:w="1114" w:type="pct"/>
            <w:tcBorders>
              <w:top w:val="nil"/>
              <w:left w:val="nil"/>
              <w:bottom w:val="nil"/>
              <w:right w:val="nil"/>
            </w:tcBorders>
            <w:shd w:val="clear" w:color="auto" w:fill="auto"/>
            <w:noWrap/>
            <w:vAlign w:val="center"/>
            <w:hideMark/>
          </w:tcPr>
          <w:p w14:paraId="32C387B4" w14:textId="77777777" w:rsidR="0089544F" w:rsidRPr="00263C50" w:rsidRDefault="0089544F" w:rsidP="00186583">
            <w:pPr>
              <w:rPr>
                <w:rFonts w:ascii="Times New Roman" w:eastAsia="Times New Roman" w:hAnsi="Times New Roman" w:cs="Times New Roman"/>
                <w:i/>
                <w:color w:val="000000"/>
                <w:sz w:val="20"/>
                <w:szCs w:val="20"/>
                <w:lang w:val="en-US" w:eastAsia="zh-TW"/>
              </w:rPr>
            </w:pPr>
            <w:r w:rsidRPr="00263C50">
              <w:rPr>
                <w:rFonts w:ascii="Times New Roman" w:eastAsia="Times New Roman" w:hAnsi="Times New Roman" w:cs="Times New Roman"/>
                <w:i/>
                <w:color w:val="000000"/>
                <w:sz w:val="20"/>
                <w:szCs w:val="20"/>
                <w:lang w:val="en-US" w:eastAsia="zh-TW"/>
              </w:rPr>
              <w:t>Constant</w:t>
            </w:r>
          </w:p>
        </w:tc>
        <w:tc>
          <w:tcPr>
            <w:tcW w:w="973" w:type="pct"/>
            <w:tcBorders>
              <w:top w:val="nil"/>
              <w:left w:val="nil"/>
              <w:bottom w:val="nil"/>
              <w:right w:val="nil"/>
            </w:tcBorders>
            <w:shd w:val="clear" w:color="auto" w:fill="auto"/>
            <w:vAlign w:val="center"/>
          </w:tcPr>
          <w:p w14:paraId="1239D63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-0.15**</w:t>
            </w:r>
          </w:p>
        </w:tc>
        <w:tc>
          <w:tcPr>
            <w:tcW w:w="971" w:type="pct"/>
            <w:tcBorders>
              <w:top w:val="nil"/>
              <w:left w:val="nil"/>
              <w:bottom w:val="nil"/>
              <w:right w:val="nil"/>
            </w:tcBorders>
            <w:shd w:val="clear" w:color="auto" w:fill="auto"/>
            <w:vAlign w:val="center"/>
          </w:tcPr>
          <w:p w14:paraId="4FDBBCF1"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1.04**</w:t>
            </w:r>
          </w:p>
        </w:tc>
        <w:tc>
          <w:tcPr>
            <w:tcW w:w="971" w:type="pct"/>
            <w:tcBorders>
              <w:top w:val="nil"/>
              <w:left w:val="nil"/>
              <w:bottom w:val="nil"/>
              <w:right w:val="nil"/>
            </w:tcBorders>
            <w:vAlign w:val="center"/>
          </w:tcPr>
          <w:p w14:paraId="3BEC55E6"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-0.30**</w:t>
            </w:r>
          </w:p>
        </w:tc>
        <w:tc>
          <w:tcPr>
            <w:tcW w:w="971" w:type="pct"/>
            <w:tcBorders>
              <w:top w:val="nil"/>
              <w:left w:val="nil"/>
              <w:bottom w:val="nil"/>
              <w:right w:val="nil"/>
            </w:tcBorders>
            <w:vAlign w:val="center"/>
          </w:tcPr>
          <w:p w14:paraId="74A8250E"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0.54</w:t>
            </w:r>
          </w:p>
        </w:tc>
      </w:tr>
      <w:tr w:rsidR="0089544F" w:rsidRPr="00263C50" w14:paraId="5EDFC8E8" w14:textId="77777777" w:rsidTr="005668E0">
        <w:trPr>
          <w:trHeight w:val="288"/>
          <w:jc w:val="center"/>
        </w:trPr>
        <w:tc>
          <w:tcPr>
            <w:tcW w:w="1114" w:type="pct"/>
            <w:tcBorders>
              <w:top w:val="nil"/>
              <w:left w:val="nil"/>
              <w:bottom w:val="nil"/>
              <w:right w:val="nil"/>
            </w:tcBorders>
            <w:shd w:val="clear" w:color="auto" w:fill="auto"/>
            <w:noWrap/>
            <w:vAlign w:val="center"/>
            <w:hideMark/>
          </w:tcPr>
          <w:p w14:paraId="007E0EA4" w14:textId="77777777" w:rsidR="0089544F" w:rsidRPr="00263C50" w:rsidRDefault="0089544F" w:rsidP="00186583">
            <w:pPr>
              <w:rPr>
                <w:rFonts w:ascii="Times New Roman" w:eastAsia="Times New Roman" w:hAnsi="Times New Roman" w:cs="Times New Roman"/>
                <w:color w:val="000000"/>
                <w:sz w:val="20"/>
                <w:szCs w:val="20"/>
                <w:lang w:val="en-US" w:eastAsia="zh-TW"/>
              </w:rPr>
            </w:pPr>
          </w:p>
        </w:tc>
        <w:tc>
          <w:tcPr>
            <w:tcW w:w="973" w:type="pct"/>
            <w:tcBorders>
              <w:top w:val="nil"/>
              <w:left w:val="nil"/>
              <w:bottom w:val="nil"/>
              <w:right w:val="nil"/>
            </w:tcBorders>
            <w:shd w:val="clear" w:color="auto" w:fill="auto"/>
            <w:vAlign w:val="center"/>
          </w:tcPr>
          <w:p w14:paraId="7F045B8D"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(-2.02)</w:t>
            </w:r>
          </w:p>
        </w:tc>
        <w:tc>
          <w:tcPr>
            <w:tcW w:w="971" w:type="pct"/>
            <w:tcBorders>
              <w:top w:val="nil"/>
              <w:left w:val="nil"/>
              <w:bottom w:val="nil"/>
              <w:right w:val="nil"/>
            </w:tcBorders>
            <w:shd w:val="clear" w:color="auto" w:fill="auto"/>
            <w:vAlign w:val="center"/>
          </w:tcPr>
          <w:p w14:paraId="65393658"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(2.01)</w:t>
            </w:r>
          </w:p>
        </w:tc>
        <w:tc>
          <w:tcPr>
            <w:tcW w:w="971" w:type="pct"/>
            <w:tcBorders>
              <w:top w:val="nil"/>
              <w:left w:val="nil"/>
              <w:bottom w:val="nil"/>
              <w:right w:val="nil"/>
            </w:tcBorders>
            <w:vAlign w:val="center"/>
          </w:tcPr>
          <w:p w14:paraId="5EE6B89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(-2.60)</w:t>
            </w:r>
          </w:p>
        </w:tc>
        <w:tc>
          <w:tcPr>
            <w:tcW w:w="971" w:type="pct"/>
            <w:tcBorders>
              <w:top w:val="nil"/>
              <w:left w:val="nil"/>
              <w:bottom w:val="nil"/>
              <w:right w:val="nil"/>
            </w:tcBorders>
            <w:vAlign w:val="center"/>
          </w:tcPr>
          <w:p w14:paraId="544464E7" w14:textId="77777777" w:rsidR="0089544F" w:rsidRPr="00263C50" w:rsidRDefault="0089544F" w:rsidP="00186583">
            <w:pPr>
              <w:jc w:val="center"/>
              <w:rPr>
                <w:rFonts w:ascii="Times New Roman" w:hAnsi="Times New Roman" w:cs="Times New Roman"/>
                <w:color w:val="000000"/>
                <w:sz w:val="20"/>
                <w:szCs w:val="20"/>
              </w:rPr>
            </w:pPr>
            <w:r w:rsidRPr="00263C50">
              <w:rPr>
                <w:rFonts w:ascii="Times New Roman" w:hAnsi="Times New Roman" w:cs="Times New Roman"/>
                <w:color w:val="000000"/>
                <w:sz w:val="20"/>
                <w:szCs w:val="20"/>
              </w:rPr>
              <w:t>(0.83)</w:t>
            </w:r>
          </w:p>
        </w:tc>
      </w:tr>
      <w:tr w:rsidR="0089544F" w:rsidRPr="00263C50" w14:paraId="507DDC1A" w14:textId="77777777" w:rsidTr="005668E0">
        <w:trPr>
          <w:trHeight w:val="288"/>
          <w:jc w:val="center"/>
        </w:trPr>
        <w:tc>
          <w:tcPr>
            <w:tcW w:w="1114" w:type="pct"/>
            <w:tcBorders>
              <w:top w:val="nil"/>
              <w:left w:val="nil"/>
              <w:right w:val="nil"/>
            </w:tcBorders>
            <w:shd w:val="clear" w:color="auto" w:fill="auto"/>
            <w:noWrap/>
            <w:vAlign w:val="center"/>
            <w:hideMark/>
          </w:tcPr>
          <w:p w14:paraId="4A2B6810" w14:textId="77777777" w:rsidR="0089544F" w:rsidRPr="00263C50" w:rsidRDefault="0089544F" w:rsidP="00186583">
            <w:pPr>
              <w:rPr>
                <w:rFonts w:ascii="Times New Roman" w:eastAsia="Times New Roman" w:hAnsi="Times New Roman" w:cs="Times New Roman"/>
                <w:color w:val="000000"/>
                <w:sz w:val="20"/>
                <w:szCs w:val="20"/>
                <w:lang w:val="en-US" w:eastAsia="zh-TW"/>
              </w:rPr>
            </w:pPr>
          </w:p>
        </w:tc>
        <w:tc>
          <w:tcPr>
            <w:tcW w:w="973" w:type="pct"/>
            <w:tcBorders>
              <w:top w:val="nil"/>
              <w:left w:val="nil"/>
              <w:right w:val="nil"/>
            </w:tcBorders>
            <w:vAlign w:val="center"/>
          </w:tcPr>
          <w:p w14:paraId="7E440A58" w14:textId="77777777" w:rsidR="0089544F" w:rsidRPr="00263C50" w:rsidRDefault="0089544F" w:rsidP="00186583">
            <w:pPr>
              <w:jc w:val="center"/>
              <w:rPr>
                <w:rFonts w:ascii="Times New Roman" w:eastAsia="Times New Roman" w:hAnsi="Times New Roman" w:cs="Times New Roman"/>
                <w:sz w:val="20"/>
                <w:szCs w:val="20"/>
                <w:lang w:val="en-US" w:eastAsia="zh-TW"/>
              </w:rPr>
            </w:pPr>
          </w:p>
        </w:tc>
        <w:tc>
          <w:tcPr>
            <w:tcW w:w="971" w:type="pct"/>
            <w:tcBorders>
              <w:top w:val="nil"/>
              <w:left w:val="nil"/>
              <w:right w:val="nil"/>
            </w:tcBorders>
            <w:vAlign w:val="center"/>
          </w:tcPr>
          <w:p w14:paraId="134DDEB0" w14:textId="77777777" w:rsidR="0089544F" w:rsidRPr="00263C50" w:rsidRDefault="0089544F" w:rsidP="00186583">
            <w:pPr>
              <w:jc w:val="center"/>
              <w:rPr>
                <w:rFonts w:ascii="Times New Roman" w:eastAsia="Times New Roman" w:hAnsi="Times New Roman" w:cs="Times New Roman"/>
                <w:sz w:val="20"/>
                <w:szCs w:val="20"/>
                <w:lang w:val="en-US" w:eastAsia="zh-TW"/>
              </w:rPr>
            </w:pPr>
          </w:p>
        </w:tc>
        <w:tc>
          <w:tcPr>
            <w:tcW w:w="971" w:type="pct"/>
            <w:tcBorders>
              <w:top w:val="nil"/>
              <w:left w:val="nil"/>
              <w:right w:val="nil"/>
            </w:tcBorders>
            <w:vAlign w:val="center"/>
          </w:tcPr>
          <w:p w14:paraId="2D64BE36" w14:textId="77777777" w:rsidR="0089544F" w:rsidRPr="00263C50" w:rsidRDefault="0089544F" w:rsidP="00186583">
            <w:pPr>
              <w:jc w:val="center"/>
              <w:rPr>
                <w:rFonts w:ascii="Times New Roman" w:eastAsia="Times New Roman" w:hAnsi="Times New Roman" w:cs="Times New Roman"/>
                <w:sz w:val="20"/>
                <w:szCs w:val="20"/>
                <w:lang w:val="en-US" w:eastAsia="zh-TW"/>
              </w:rPr>
            </w:pPr>
          </w:p>
        </w:tc>
        <w:tc>
          <w:tcPr>
            <w:tcW w:w="971" w:type="pct"/>
            <w:tcBorders>
              <w:top w:val="nil"/>
              <w:left w:val="nil"/>
              <w:right w:val="nil"/>
            </w:tcBorders>
            <w:vAlign w:val="center"/>
          </w:tcPr>
          <w:p w14:paraId="0CE1E0E8" w14:textId="77777777" w:rsidR="0089544F" w:rsidRPr="00263C50" w:rsidRDefault="0089544F" w:rsidP="00186583">
            <w:pPr>
              <w:jc w:val="center"/>
              <w:rPr>
                <w:rFonts w:ascii="Times New Roman" w:eastAsia="Times New Roman" w:hAnsi="Times New Roman" w:cs="Times New Roman"/>
                <w:sz w:val="20"/>
                <w:szCs w:val="20"/>
                <w:lang w:val="en-US" w:eastAsia="zh-TW"/>
              </w:rPr>
            </w:pPr>
          </w:p>
        </w:tc>
      </w:tr>
      <w:tr w:rsidR="0089544F" w:rsidRPr="00263C50" w14:paraId="59E84327" w14:textId="77777777" w:rsidTr="005668E0">
        <w:trPr>
          <w:trHeight w:val="288"/>
          <w:jc w:val="center"/>
        </w:trPr>
        <w:tc>
          <w:tcPr>
            <w:tcW w:w="1114" w:type="pct"/>
            <w:tcBorders>
              <w:top w:val="nil"/>
              <w:left w:val="nil"/>
              <w:bottom w:val="single" w:sz="4" w:space="0" w:color="auto"/>
              <w:right w:val="nil"/>
            </w:tcBorders>
            <w:shd w:val="clear" w:color="auto" w:fill="auto"/>
            <w:noWrap/>
            <w:vAlign w:val="center"/>
            <w:hideMark/>
          </w:tcPr>
          <w:p w14:paraId="0771B7A7" w14:textId="77777777" w:rsidR="0089544F" w:rsidRPr="00263C50" w:rsidRDefault="0089544F" w:rsidP="00186583">
            <w:pP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No. of Obs.</w:t>
            </w:r>
          </w:p>
        </w:tc>
        <w:tc>
          <w:tcPr>
            <w:tcW w:w="973" w:type="pct"/>
            <w:tcBorders>
              <w:top w:val="nil"/>
              <w:left w:val="nil"/>
              <w:bottom w:val="single" w:sz="4" w:space="0" w:color="auto"/>
              <w:right w:val="nil"/>
            </w:tcBorders>
            <w:vAlign w:val="center"/>
          </w:tcPr>
          <w:p w14:paraId="309F2BDB" w14:textId="77777777" w:rsidR="0089544F" w:rsidRPr="00263C50" w:rsidRDefault="0089544F" w:rsidP="00186583">
            <w:pPr>
              <w:jc w:val="center"/>
              <w:rPr>
                <w:rFonts w:ascii="Times New Roman" w:eastAsia="Times New Roman" w:hAnsi="Times New Roman" w:cs="Times New Roman"/>
                <w:color w:val="000000" w:themeColor="text1"/>
                <w:sz w:val="20"/>
                <w:szCs w:val="20"/>
                <w:lang w:val="en-US" w:eastAsia="zh-TW"/>
              </w:rPr>
            </w:pPr>
            <w:r w:rsidRPr="00263C50">
              <w:rPr>
                <w:rFonts w:ascii="Times New Roman" w:eastAsia="Times New Roman" w:hAnsi="Times New Roman" w:cs="Times New Roman"/>
                <w:color w:val="000000"/>
                <w:sz w:val="20"/>
                <w:szCs w:val="20"/>
                <w:lang w:val="en-US" w:eastAsia="zh-TW"/>
              </w:rPr>
              <w:t>145</w:t>
            </w:r>
          </w:p>
        </w:tc>
        <w:tc>
          <w:tcPr>
            <w:tcW w:w="971" w:type="pct"/>
            <w:tcBorders>
              <w:top w:val="nil"/>
              <w:left w:val="nil"/>
              <w:bottom w:val="single" w:sz="4" w:space="0" w:color="auto"/>
              <w:right w:val="nil"/>
            </w:tcBorders>
            <w:vAlign w:val="center"/>
          </w:tcPr>
          <w:p w14:paraId="65622E26" w14:textId="77777777" w:rsidR="0089544F" w:rsidRPr="00263C50" w:rsidRDefault="0089544F" w:rsidP="00186583">
            <w:pPr>
              <w:jc w:val="center"/>
              <w:rPr>
                <w:rFonts w:ascii="Times New Roman" w:eastAsia="Times New Roman" w:hAnsi="Times New Roman" w:cs="Times New Roman"/>
                <w:color w:val="000000" w:themeColor="text1"/>
                <w:sz w:val="20"/>
                <w:szCs w:val="20"/>
                <w:lang w:val="en-US" w:eastAsia="zh-TW"/>
              </w:rPr>
            </w:pPr>
            <w:r w:rsidRPr="00263C50">
              <w:rPr>
                <w:rFonts w:ascii="Times New Roman" w:eastAsia="Times New Roman" w:hAnsi="Times New Roman" w:cs="Times New Roman"/>
                <w:color w:val="000000"/>
                <w:sz w:val="20"/>
                <w:szCs w:val="20"/>
                <w:lang w:val="en-US" w:eastAsia="zh-TW"/>
              </w:rPr>
              <w:t>145</w:t>
            </w:r>
          </w:p>
        </w:tc>
        <w:tc>
          <w:tcPr>
            <w:tcW w:w="971" w:type="pct"/>
            <w:tcBorders>
              <w:top w:val="nil"/>
              <w:left w:val="nil"/>
              <w:bottom w:val="single" w:sz="4" w:space="0" w:color="auto"/>
              <w:right w:val="nil"/>
            </w:tcBorders>
            <w:vAlign w:val="center"/>
          </w:tcPr>
          <w:p w14:paraId="02914D7D"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145</w:t>
            </w:r>
          </w:p>
        </w:tc>
        <w:tc>
          <w:tcPr>
            <w:tcW w:w="971" w:type="pct"/>
            <w:tcBorders>
              <w:top w:val="nil"/>
              <w:left w:val="nil"/>
              <w:bottom w:val="single" w:sz="4" w:space="0" w:color="auto"/>
              <w:right w:val="nil"/>
            </w:tcBorders>
            <w:vAlign w:val="center"/>
          </w:tcPr>
          <w:p w14:paraId="1B56542F" w14:textId="77777777" w:rsidR="0089544F" w:rsidRPr="00263C50" w:rsidRDefault="0089544F" w:rsidP="00186583">
            <w:pPr>
              <w:jc w:val="center"/>
              <w:rPr>
                <w:rFonts w:ascii="Times New Roman" w:eastAsia="Times New Roman" w:hAnsi="Times New Roman" w:cs="Times New Roman"/>
                <w:color w:val="000000"/>
                <w:sz w:val="20"/>
                <w:szCs w:val="20"/>
                <w:lang w:val="en-US" w:eastAsia="zh-TW"/>
              </w:rPr>
            </w:pPr>
            <w:r w:rsidRPr="00263C50">
              <w:rPr>
                <w:rFonts w:ascii="Times New Roman" w:eastAsia="Times New Roman" w:hAnsi="Times New Roman" w:cs="Times New Roman"/>
                <w:color w:val="000000"/>
                <w:sz w:val="20"/>
                <w:szCs w:val="20"/>
                <w:lang w:val="en-US" w:eastAsia="zh-TW"/>
              </w:rPr>
              <w:t>145</w:t>
            </w:r>
          </w:p>
        </w:tc>
      </w:tr>
    </w:tbl>
    <w:p w14:paraId="6F7F129F" w14:textId="77777777" w:rsidR="00263C50" w:rsidRDefault="00263C50" w:rsidP="00186583">
      <w:pPr>
        <w:rPr>
          <w:rFonts w:ascii="Times New Roman" w:hAnsi="Times New Roman" w:cs="Times New Roman"/>
          <w:b/>
          <w:bCs/>
          <w:sz w:val="20"/>
          <w:szCs w:val="20"/>
          <w:lang w:val="en-US"/>
        </w:rPr>
      </w:pPr>
    </w:p>
    <w:p w14:paraId="3E6502DD" w14:textId="77777777" w:rsidR="00263C50" w:rsidRPr="00263C50" w:rsidRDefault="00263C50" w:rsidP="00186583">
      <w:pPr>
        <w:rPr>
          <w:rFonts w:ascii="Times New Roman" w:hAnsi="Times New Roman" w:cs="Times New Roman"/>
          <w:b/>
          <w:bCs/>
          <w:sz w:val="20"/>
          <w:szCs w:val="20"/>
          <w:lang w:val="en-US"/>
        </w:rPr>
        <w:sectPr w:rsidR="00263C50" w:rsidRPr="00263C50" w:rsidSect="00CA4B1F">
          <w:pgSz w:w="12240" w:h="15840"/>
          <w:pgMar w:top="1440" w:right="1440" w:bottom="1440" w:left="1440" w:header="720" w:footer="720" w:gutter="0"/>
          <w:cols w:space="720"/>
          <w:docGrid w:linePitch="360"/>
        </w:sectPr>
      </w:pPr>
    </w:p>
    <w:p w14:paraId="442BAE01" w14:textId="77777777" w:rsidR="0089544F" w:rsidRDefault="0089544F" w:rsidP="00186583">
      <w:pPr>
        <w:rPr>
          <w:rFonts w:ascii="Times New Roman" w:hAnsi="Times New Roman" w:cs="Times New Roman"/>
          <w:b/>
          <w:bCs/>
          <w:sz w:val="20"/>
          <w:szCs w:val="20"/>
          <w:lang w:val="en-US"/>
        </w:rPr>
      </w:pPr>
      <w:r w:rsidRPr="00263C50">
        <w:rPr>
          <w:rFonts w:ascii="Times New Roman" w:hAnsi="Times New Roman" w:cs="Times New Roman"/>
          <w:b/>
          <w:bCs/>
          <w:sz w:val="20"/>
          <w:szCs w:val="20"/>
          <w:lang w:val="en-US"/>
        </w:rPr>
        <w:lastRenderedPageBreak/>
        <w:t>Table 10 The impact of accounting and tax education on various aspects of Tax Literacy</w:t>
      </w:r>
    </w:p>
    <w:p w14:paraId="53D6E41A" w14:textId="77777777" w:rsidR="00263C50" w:rsidRPr="00263C50" w:rsidRDefault="00263C50" w:rsidP="00186583">
      <w:pPr>
        <w:rPr>
          <w:rFonts w:ascii="Times New Roman" w:hAnsi="Times New Roman" w:cs="Times New Roman"/>
          <w:b/>
          <w:bCs/>
          <w:sz w:val="20"/>
          <w:szCs w:val="20"/>
          <w:lang w:val="en-US"/>
        </w:rPr>
      </w:pPr>
    </w:p>
    <w:tbl>
      <w:tblPr>
        <w:tblW w:w="12849" w:type="dxa"/>
        <w:tblLayout w:type="fixed"/>
        <w:tblLook w:val="04A0" w:firstRow="1" w:lastRow="0" w:firstColumn="1" w:lastColumn="0" w:noHBand="0" w:noVBand="1"/>
      </w:tblPr>
      <w:tblGrid>
        <w:gridCol w:w="1008"/>
        <w:gridCol w:w="844"/>
        <w:gridCol w:w="844"/>
        <w:gridCol w:w="845"/>
        <w:gridCol w:w="844"/>
        <w:gridCol w:w="845"/>
        <w:gridCol w:w="844"/>
        <w:gridCol w:w="864"/>
        <w:gridCol w:w="844"/>
        <w:gridCol w:w="844"/>
        <w:gridCol w:w="845"/>
        <w:gridCol w:w="844"/>
        <w:gridCol w:w="845"/>
        <w:gridCol w:w="844"/>
        <w:gridCol w:w="845"/>
      </w:tblGrid>
      <w:tr w:rsidR="0089544F" w:rsidRPr="00263C50" w14:paraId="601CA3F7" w14:textId="77777777" w:rsidTr="005668E0">
        <w:trPr>
          <w:trHeight w:val="20"/>
        </w:trPr>
        <w:tc>
          <w:tcPr>
            <w:tcW w:w="1008" w:type="dxa"/>
            <w:tcBorders>
              <w:top w:val="single" w:sz="4" w:space="0" w:color="auto"/>
              <w:left w:val="nil"/>
              <w:right w:val="nil"/>
            </w:tcBorders>
            <w:shd w:val="clear" w:color="auto" w:fill="auto"/>
            <w:noWrap/>
            <w:vAlign w:val="center"/>
            <w:hideMark/>
          </w:tcPr>
          <w:p w14:paraId="5ABF2E69" w14:textId="77777777" w:rsidR="0089544F" w:rsidRPr="00263C50" w:rsidRDefault="0089544F" w:rsidP="00186583">
            <w:pPr>
              <w:rPr>
                <w:rFonts w:ascii="Times New Roman" w:eastAsia="Times New Roman" w:hAnsi="Times New Roman" w:cs="Times New Roman"/>
                <w:color w:val="000000"/>
                <w:sz w:val="15"/>
                <w:szCs w:val="15"/>
                <w:lang w:val="en-US" w:eastAsia="zh-TW"/>
              </w:rPr>
            </w:pPr>
          </w:p>
        </w:tc>
        <w:tc>
          <w:tcPr>
            <w:tcW w:w="844" w:type="dxa"/>
            <w:tcBorders>
              <w:top w:val="single" w:sz="4" w:space="0" w:color="auto"/>
              <w:left w:val="nil"/>
              <w:right w:val="nil"/>
            </w:tcBorders>
            <w:shd w:val="clear" w:color="auto" w:fill="auto"/>
            <w:noWrap/>
            <w:vAlign w:val="center"/>
            <w:hideMark/>
          </w:tcPr>
          <w:p w14:paraId="7364480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Q1</w:t>
            </w:r>
          </w:p>
        </w:tc>
        <w:tc>
          <w:tcPr>
            <w:tcW w:w="844" w:type="dxa"/>
            <w:tcBorders>
              <w:top w:val="single" w:sz="4" w:space="0" w:color="auto"/>
              <w:left w:val="nil"/>
              <w:right w:val="nil"/>
            </w:tcBorders>
            <w:shd w:val="clear" w:color="auto" w:fill="auto"/>
            <w:noWrap/>
            <w:vAlign w:val="center"/>
            <w:hideMark/>
          </w:tcPr>
          <w:p w14:paraId="692B7B1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Q2</w:t>
            </w:r>
          </w:p>
        </w:tc>
        <w:tc>
          <w:tcPr>
            <w:tcW w:w="845" w:type="dxa"/>
            <w:tcBorders>
              <w:top w:val="single" w:sz="4" w:space="0" w:color="auto"/>
              <w:left w:val="nil"/>
              <w:right w:val="nil"/>
            </w:tcBorders>
            <w:shd w:val="clear" w:color="auto" w:fill="auto"/>
            <w:noWrap/>
            <w:vAlign w:val="center"/>
            <w:hideMark/>
          </w:tcPr>
          <w:p w14:paraId="441D559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Q3</w:t>
            </w:r>
          </w:p>
        </w:tc>
        <w:tc>
          <w:tcPr>
            <w:tcW w:w="844" w:type="dxa"/>
            <w:tcBorders>
              <w:top w:val="single" w:sz="4" w:space="0" w:color="auto"/>
              <w:left w:val="nil"/>
              <w:right w:val="nil"/>
            </w:tcBorders>
            <w:shd w:val="clear" w:color="auto" w:fill="auto"/>
            <w:noWrap/>
            <w:vAlign w:val="center"/>
            <w:hideMark/>
          </w:tcPr>
          <w:p w14:paraId="3469DCA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Q4</w:t>
            </w:r>
          </w:p>
        </w:tc>
        <w:tc>
          <w:tcPr>
            <w:tcW w:w="845" w:type="dxa"/>
            <w:tcBorders>
              <w:top w:val="single" w:sz="4" w:space="0" w:color="auto"/>
              <w:left w:val="nil"/>
              <w:right w:val="nil"/>
            </w:tcBorders>
            <w:shd w:val="clear" w:color="auto" w:fill="auto"/>
            <w:noWrap/>
            <w:vAlign w:val="center"/>
            <w:hideMark/>
          </w:tcPr>
          <w:p w14:paraId="5C428EC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Q5</w:t>
            </w:r>
          </w:p>
        </w:tc>
        <w:tc>
          <w:tcPr>
            <w:tcW w:w="844" w:type="dxa"/>
            <w:tcBorders>
              <w:top w:val="single" w:sz="4" w:space="0" w:color="auto"/>
              <w:left w:val="nil"/>
              <w:right w:val="nil"/>
            </w:tcBorders>
            <w:shd w:val="clear" w:color="auto" w:fill="auto"/>
            <w:noWrap/>
            <w:vAlign w:val="center"/>
            <w:hideMark/>
          </w:tcPr>
          <w:p w14:paraId="006BD37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Q6</w:t>
            </w:r>
          </w:p>
        </w:tc>
        <w:tc>
          <w:tcPr>
            <w:tcW w:w="864" w:type="dxa"/>
            <w:tcBorders>
              <w:top w:val="single" w:sz="4" w:space="0" w:color="auto"/>
              <w:left w:val="nil"/>
              <w:right w:val="nil"/>
            </w:tcBorders>
            <w:shd w:val="clear" w:color="auto" w:fill="auto"/>
            <w:noWrap/>
            <w:vAlign w:val="center"/>
            <w:hideMark/>
          </w:tcPr>
          <w:p w14:paraId="439C430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Q7</w:t>
            </w:r>
          </w:p>
        </w:tc>
        <w:tc>
          <w:tcPr>
            <w:tcW w:w="844" w:type="dxa"/>
            <w:tcBorders>
              <w:top w:val="single" w:sz="4" w:space="0" w:color="auto"/>
              <w:left w:val="nil"/>
              <w:right w:val="nil"/>
            </w:tcBorders>
            <w:shd w:val="clear" w:color="auto" w:fill="auto"/>
            <w:noWrap/>
            <w:vAlign w:val="center"/>
            <w:hideMark/>
          </w:tcPr>
          <w:p w14:paraId="5CC4A30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Q8</w:t>
            </w:r>
          </w:p>
        </w:tc>
        <w:tc>
          <w:tcPr>
            <w:tcW w:w="844" w:type="dxa"/>
            <w:tcBorders>
              <w:top w:val="single" w:sz="4" w:space="0" w:color="auto"/>
              <w:left w:val="nil"/>
              <w:right w:val="nil"/>
            </w:tcBorders>
            <w:shd w:val="clear" w:color="auto" w:fill="auto"/>
            <w:noWrap/>
            <w:vAlign w:val="center"/>
            <w:hideMark/>
          </w:tcPr>
          <w:p w14:paraId="7EB0663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Q9</w:t>
            </w:r>
          </w:p>
        </w:tc>
        <w:tc>
          <w:tcPr>
            <w:tcW w:w="845" w:type="dxa"/>
            <w:tcBorders>
              <w:top w:val="single" w:sz="4" w:space="0" w:color="auto"/>
              <w:left w:val="nil"/>
              <w:right w:val="nil"/>
            </w:tcBorders>
            <w:shd w:val="clear" w:color="auto" w:fill="auto"/>
            <w:noWrap/>
            <w:vAlign w:val="center"/>
            <w:hideMark/>
          </w:tcPr>
          <w:p w14:paraId="504F32A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Q10</w:t>
            </w:r>
          </w:p>
        </w:tc>
        <w:tc>
          <w:tcPr>
            <w:tcW w:w="844" w:type="dxa"/>
            <w:tcBorders>
              <w:top w:val="single" w:sz="4" w:space="0" w:color="auto"/>
              <w:left w:val="nil"/>
              <w:right w:val="nil"/>
            </w:tcBorders>
            <w:shd w:val="clear" w:color="auto" w:fill="auto"/>
            <w:noWrap/>
            <w:vAlign w:val="center"/>
            <w:hideMark/>
          </w:tcPr>
          <w:p w14:paraId="09576B0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Q11</w:t>
            </w:r>
          </w:p>
        </w:tc>
        <w:tc>
          <w:tcPr>
            <w:tcW w:w="845" w:type="dxa"/>
            <w:tcBorders>
              <w:top w:val="single" w:sz="4" w:space="0" w:color="auto"/>
              <w:left w:val="nil"/>
              <w:right w:val="nil"/>
            </w:tcBorders>
            <w:shd w:val="clear" w:color="auto" w:fill="auto"/>
            <w:noWrap/>
            <w:vAlign w:val="center"/>
            <w:hideMark/>
          </w:tcPr>
          <w:p w14:paraId="79B1485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Q12</w:t>
            </w:r>
          </w:p>
        </w:tc>
        <w:tc>
          <w:tcPr>
            <w:tcW w:w="844" w:type="dxa"/>
            <w:tcBorders>
              <w:top w:val="single" w:sz="4" w:space="0" w:color="auto"/>
              <w:left w:val="nil"/>
              <w:right w:val="nil"/>
            </w:tcBorders>
            <w:shd w:val="clear" w:color="auto" w:fill="auto"/>
            <w:noWrap/>
            <w:vAlign w:val="center"/>
            <w:hideMark/>
          </w:tcPr>
          <w:p w14:paraId="21308A1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Q13</w:t>
            </w:r>
          </w:p>
        </w:tc>
        <w:tc>
          <w:tcPr>
            <w:tcW w:w="845" w:type="dxa"/>
            <w:tcBorders>
              <w:top w:val="single" w:sz="4" w:space="0" w:color="auto"/>
              <w:left w:val="nil"/>
              <w:right w:val="nil"/>
            </w:tcBorders>
            <w:shd w:val="clear" w:color="auto" w:fill="auto"/>
            <w:noWrap/>
            <w:vAlign w:val="center"/>
            <w:hideMark/>
          </w:tcPr>
          <w:p w14:paraId="5E2F856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Q14</w:t>
            </w:r>
          </w:p>
        </w:tc>
      </w:tr>
      <w:tr w:rsidR="0089544F" w:rsidRPr="00263C50" w14:paraId="414983D5" w14:textId="77777777" w:rsidTr="005668E0">
        <w:trPr>
          <w:trHeight w:val="20"/>
        </w:trPr>
        <w:tc>
          <w:tcPr>
            <w:tcW w:w="1008" w:type="dxa"/>
            <w:tcBorders>
              <w:left w:val="nil"/>
              <w:bottom w:val="single" w:sz="4" w:space="0" w:color="auto"/>
              <w:right w:val="nil"/>
            </w:tcBorders>
            <w:shd w:val="clear" w:color="auto" w:fill="auto"/>
            <w:noWrap/>
            <w:vAlign w:val="center"/>
            <w:hideMark/>
          </w:tcPr>
          <w:p w14:paraId="45CB30BE" w14:textId="77777777" w:rsidR="0089544F" w:rsidRPr="00263C50" w:rsidRDefault="0089544F" w:rsidP="00186583">
            <w:pPr>
              <w:rPr>
                <w:rFonts w:ascii="Times New Roman" w:eastAsia="Times New Roman" w:hAnsi="Times New Roman" w:cs="Times New Roman"/>
                <w:color w:val="000000"/>
                <w:sz w:val="15"/>
                <w:szCs w:val="15"/>
                <w:lang w:val="en-US" w:eastAsia="zh-TW"/>
              </w:rPr>
            </w:pPr>
          </w:p>
        </w:tc>
        <w:tc>
          <w:tcPr>
            <w:tcW w:w="844" w:type="dxa"/>
            <w:tcBorders>
              <w:top w:val="nil"/>
              <w:left w:val="nil"/>
              <w:bottom w:val="single" w:sz="4" w:space="0" w:color="auto"/>
              <w:right w:val="nil"/>
            </w:tcBorders>
            <w:shd w:val="clear" w:color="auto" w:fill="auto"/>
            <w:vAlign w:val="center"/>
            <w:hideMark/>
          </w:tcPr>
          <w:p w14:paraId="1F19C61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Rent</w:t>
            </w:r>
          </w:p>
        </w:tc>
        <w:tc>
          <w:tcPr>
            <w:tcW w:w="844" w:type="dxa"/>
            <w:tcBorders>
              <w:top w:val="nil"/>
              <w:left w:val="nil"/>
              <w:bottom w:val="single" w:sz="4" w:space="0" w:color="auto"/>
              <w:right w:val="nil"/>
            </w:tcBorders>
            <w:shd w:val="clear" w:color="auto" w:fill="auto"/>
            <w:vAlign w:val="center"/>
            <w:hideMark/>
          </w:tcPr>
          <w:p w14:paraId="3AD1046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Wages</w:t>
            </w:r>
          </w:p>
        </w:tc>
        <w:tc>
          <w:tcPr>
            <w:tcW w:w="845" w:type="dxa"/>
            <w:tcBorders>
              <w:top w:val="nil"/>
              <w:left w:val="nil"/>
              <w:bottom w:val="single" w:sz="4" w:space="0" w:color="auto"/>
              <w:right w:val="nil"/>
            </w:tcBorders>
            <w:shd w:val="clear" w:color="auto" w:fill="auto"/>
            <w:vAlign w:val="center"/>
            <w:hideMark/>
          </w:tcPr>
          <w:p w14:paraId="7FA27EB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Medical</w:t>
            </w:r>
          </w:p>
        </w:tc>
        <w:tc>
          <w:tcPr>
            <w:tcW w:w="844" w:type="dxa"/>
            <w:tcBorders>
              <w:top w:val="nil"/>
              <w:left w:val="nil"/>
              <w:bottom w:val="single" w:sz="4" w:space="0" w:color="auto"/>
              <w:right w:val="nil"/>
            </w:tcBorders>
            <w:shd w:val="clear" w:color="auto" w:fill="auto"/>
            <w:vAlign w:val="center"/>
            <w:hideMark/>
          </w:tcPr>
          <w:p w14:paraId="17E32AA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Car loan</w:t>
            </w:r>
          </w:p>
        </w:tc>
        <w:tc>
          <w:tcPr>
            <w:tcW w:w="845" w:type="dxa"/>
            <w:tcBorders>
              <w:top w:val="nil"/>
              <w:left w:val="nil"/>
              <w:bottom w:val="single" w:sz="4" w:space="0" w:color="auto"/>
              <w:right w:val="nil"/>
            </w:tcBorders>
            <w:shd w:val="clear" w:color="auto" w:fill="auto"/>
            <w:vAlign w:val="center"/>
            <w:hideMark/>
          </w:tcPr>
          <w:p w14:paraId="00E77D1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Baseball cards</w:t>
            </w:r>
          </w:p>
        </w:tc>
        <w:tc>
          <w:tcPr>
            <w:tcW w:w="844" w:type="dxa"/>
            <w:tcBorders>
              <w:top w:val="nil"/>
              <w:left w:val="nil"/>
              <w:bottom w:val="single" w:sz="4" w:space="0" w:color="auto"/>
              <w:right w:val="nil"/>
            </w:tcBorders>
            <w:shd w:val="clear" w:color="auto" w:fill="auto"/>
            <w:vAlign w:val="center"/>
            <w:hideMark/>
          </w:tcPr>
          <w:p w14:paraId="4BB5C47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FICA taxes</w:t>
            </w:r>
          </w:p>
        </w:tc>
        <w:tc>
          <w:tcPr>
            <w:tcW w:w="864" w:type="dxa"/>
            <w:tcBorders>
              <w:top w:val="nil"/>
              <w:left w:val="nil"/>
              <w:bottom w:val="single" w:sz="4" w:space="0" w:color="auto"/>
              <w:right w:val="nil"/>
            </w:tcBorders>
            <w:shd w:val="clear" w:color="auto" w:fill="auto"/>
            <w:vAlign w:val="center"/>
            <w:hideMark/>
          </w:tcPr>
          <w:p w14:paraId="173E505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Standard deduction</w:t>
            </w:r>
          </w:p>
        </w:tc>
        <w:tc>
          <w:tcPr>
            <w:tcW w:w="844" w:type="dxa"/>
            <w:tcBorders>
              <w:top w:val="nil"/>
              <w:left w:val="nil"/>
              <w:bottom w:val="single" w:sz="4" w:space="0" w:color="auto"/>
              <w:right w:val="nil"/>
            </w:tcBorders>
            <w:shd w:val="clear" w:color="auto" w:fill="auto"/>
            <w:vAlign w:val="center"/>
            <w:hideMark/>
          </w:tcPr>
          <w:p w14:paraId="4C9DC3E5" w14:textId="77777777" w:rsidR="0089544F" w:rsidRPr="00263C50" w:rsidRDefault="0089544F" w:rsidP="00186583">
            <w:pPr>
              <w:ind w:right="-93"/>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Itemized deduction</w:t>
            </w:r>
          </w:p>
        </w:tc>
        <w:tc>
          <w:tcPr>
            <w:tcW w:w="844" w:type="dxa"/>
            <w:tcBorders>
              <w:top w:val="nil"/>
              <w:left w:val="nil"/>
              <w:bottom w:val="single" w:sz="4" w:space="0" w:color="auto"/>
              <w:right w:val="nil"/>
            </w:tcBorders>
            <w:shd w:val="clear" w:color="auto" w:fill="auto"/>
            <w:vAlign w:val="center"/>
            <w:hideMark/>
          </w:tcPr>
          <w:p w14:paraId="5B71064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Tax rates</w:t>
            </w:r>
          </w:p>
        </w:tc>
        <w:tc>
          <w:tcPr>
            <w:tcW w:w="845" w:type="dxa"/>
            <w:tcBorders>
              <w:top w:val="nil"/>
              <w:left w:val="nil"/>
              <w:bottom w:val="single" w:sz="4" w:space="0" w:color="auto"/>
              <w:right w:val="nil"/>
            </w:tcBorders>
            <w:shd w:val="clear" w:color="auto" w:fill="auto"/>
            <w:vAlign w:val="center"/>
            <w:hideMark/>
          </w:tcPr>
          <w:p w14:paraId="1A0B973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Tax refund</w:t>
            </w:r>
          </w:p>
        </w:tc>
        <w:tc>
          <w:tcPr>
            <w:tcW w:w="844" w:type="dxa"/>
            <w:tcBorders>
              <w:top w:val="nil"/>
              <w:left w:val="nil"/>
              <w:bottom w:val="single" w:sz="4" w:space="0" w:color="auto"/>
              <w:right w:val="nil"/>
            </w:tcBorders>
            <w:shd w:val="clear" w:color="auto" w:fill="auto"/>
            <w:vAlign w:val="center"/>
            <w:hideMark/>
          </w:tcPr>
          <w:p w14:paraId="49B4A0E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Tax liability</w:t>
            </w:r>
          </w:p>
        </w:tc>
        <w:tc>
          <w:tcPr>
            <w:tcW w:w="845" w:type="dxa"/>
            <w:tcBorders>
              <w:top w:val="nil"/>
              <w:left w:val="nil"/>
              <w:bottom w:val="single" w:sz="4" w:space="0" w:color="auto"/>
              <w:right w:val="nil"/>
            </w:tcBorders>
            <w:shd w:val="clear" w:color="auto" w:fill="auto"/>
            <w:vAlign w:val="center"/>
            <w:hideMark/>
          </w:tcPr>
          <w:p w14:paraId="318E615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401(k)</w:t>
            </w:r>
          </w:p>
        </w:tc>
        <w:tc>
          <w:tcPr>
            <w:tcW w:w="844" w:type="dxa"/>
            <w:tcBorders>
              <w:top w:val="nil"/>
              <w:left w:val="nil"/>
              <w:bottom w:val="single" w:sz="4" w:space="0" w:color="auto"/>
              <w:right w:val="nil"/>
            </w:tcBorders>
            <w:shd w:val="clear" w:color="auto" w:fill="auto"/>
            <w:vAlign w:val="center"/>
            <w:hideMark/>
          </w:tcPr>
          <w:p w14:paraId="3E382343" w14:textId="77777777" w:rsidR="0089544F" w:rsidRPr="00263C50" w:rsidRDefault="0089544F" w:rsidP="00186583">
            <w:pPr>
              <w:ind w:right="-16"/>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Taxes on Dividends</w:t>
            </w:r>
          </w:p>
        </w:tc>
        <w:tc>
          <w:tcPr>
            <w:tcW w:w="845" w:type="dxa"/>
            <w:tcBorders>
              <w:top w:val="nil"/>
              <w:left w:val="nil"/>
              <w:bottom w:val="single" w:sz="4" w:space="0" w:color="auto"/>
              <w:right w:val="nil"/>
            </w:tcBorders>
            <w:shd w:val="clear" w:color="auto" w:fill="auto"/>
            <w:vAlign w:val="center"/>
            <w:hideMark/>
          </w:tcPr>
          <w:p w14:paraId="0AAD9C1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eastAsia="Times New Roman" w:hAnsi="Times New Roman" w:cs="Times New Roman"/>
                <w:color w:val="000000"/>
                <w:sz w:val="15"/>
                <w:szCs w:val="15"/>
                <w:lang w:val="en-US" w:eastAsia="zh-TW"/>
              </w:rPr>
              <w:t>Tax credit</w:t>
            </w:r>
          </w:p>
        </w:tc>
      </w:tr>
      <w:tr w:rsidR="0089544F" w:rsidRPr="00263C50" w14:paraId="28D58751" w14:textId="77777777" w:rsidTr="005668E0">
        <w:trPr>
          <w:trHeight w:val="20"/>
        </w:trPr>
        <w:tc>
          <w:tcPr>
            <w:tcW w:w="1008" w:type="dxa"/>
            <w:tcBorders>
              <w:top w:val="single" w:sz="4" w:space="0" w:color="auto"/>
              <w:left w:val="nil"/>
              <w:bottom w:val="nil"/>
              <w:right w:val="nil"/>
            </w:tcBorders>
            <w:shd w:val="clear" w:color="auto" w:fill="auto"/>
            <w:noWrap/>
            <w:vAlign w:val="center"/>
          </w:tcPr>
          <w:p w14:paraId="3C5350AE" w14:textId="77777777" w:rsidR="0089544F" w:rsidRPr="00263C50" w:rsidRDefault="0089544F" w:rsidP="00186583">
            <w:pPr>
              <w:rPr>
                <w:rFonts w:ascii="Times New Roman" w:hAnsi="Times New Roman" w:cs="Times New Roman"/>
                <w:i/>
                <w:color w:val="000000"/>
                <w:sz w:val="15"/>
                <w:szCs w:val="15"/>
              </w:rPr>
            </w:pPr>
          </w:p>
        </w:tc>
        <w:tc>
          <w:tcPr>
            <w:tcW w:w="844" w:type="dxa"/>
            <w:tcBorders>
              <w:top w:val="single" w:sz="4" w:space="0" w:color="auto"/>
              <w:left w:val="nil"/>
              <w:bottom w:val="nil"/>
              <w:right w:val="nil"/>
            </w:tcBorders>
            <w:shd w:val="clear" w:color="auto" w:fill="auto"/>
            <w:noWrap/>
            <w:vAlign w:val="center"/>
          </w:tcPr>
          <w:p w14:paraId="634AF5EE" w14:textId="77777777" w:rsidR="0089544F" w:rsidRPr="00263C50" w:rsidRDefault="0089544F" w:rsidP="00186583">
            <w:pPr>
              <w:jc w:val="center"/>
              <w:rPr>
                <w:rFonts w:ascii="Times New Roman" w:hAnsi="Times New Roman" w:cs="Times New Roman"/>
                <w:color w:val="000000"/>
                <w:sz w:val="15"/>
                <w:szCs w:val="15"/>
              </w:rPr>
            </w:pPr>
          </w:p>
        </w:tc>
        <w:tc>
          <w:tcPr>
            <w:tcW w:w="844" w:type="dxa"/>
            <w:tcBorders>
              <w:top w:val="single" w:sz="4" w:space="0" w:color="auto"/>
              <w:left w:val="nil"/>
              <w:bottom w:val="nil"/>
              <w:right w:val="nil"/>
            </w:tcBorders>
            <w:shd w:val="clear" w:color="auto" w:fill="auto"/>
            <w:noWrap/>
            <w:vAlign w:val="center"/>
          </w:tcPr>
          <w:p w14:paraId="4DC999AE" w14:textId="77777777" w:rsidR="0089544F" w:rsidRPr="00263C50" w:rsidRDefault="0089544F" w:rsidP="00186583">
            <w:pPr>
              <w:jc w:val="center"/>
              <w:rPr>
                <w:rFonts w:ascii="Times New Roman" w:hAnsi="Times New Roman" w:cs="Times New Roman"/>
                <w:color w:val="000000"/>
                <w:sz w:val="15"/>
                <w:szCs w:val="15"/>
              </w:rPr>
            </w:pPr>
          </w:p>
        </w:tc>
        <w:tc>
          <w:tcPr>
            <w:tcW w:w="845" w:type="dxa"/>
            <w:tcBorders>
              <w:top w:val="single" w:sz="4" w:space="0" w:color="auto"/>
              <w:left w:val="nil"/>
              <w:bottom w:val="nil"/>
              <w:right w:val="nil"/>
            </w:tcBorders>
            <w:shd w:val="clear" w:color="auto" w:fill="auto"/>
            <w:noWrap/>
            <w:vAlign w:val="center"/>
          </w:tcPr>
          <w:p w14:paraId="4A198978" w14:textId="77777777" w:rsidR="0089544F" w:rsidRPr="00263C50" w:rsidRDefault="0089544F" w:rsidP="00186583">
            <w:pPr>
              <w:jc w:val="center"/>
              <w:rPr>
                <w:rFonts w:ascii="Times New Roman" w:hAnsi="Times New Roman" w:cs="Times New Roman"/>
                <w:color w:val="000000"/>
                <w:sz w:val="15"/>
                <w:szCs w:val="15"/>
              </w:rPr>
            </w:pPr>
          </w:p>
        </w:tc>
        <w:tc>
          <w:tcPr>
            <w:tcW w:w="844" w:type="dxa"/>
            <w:tcBorders>
              <w:top w:val="single" w:sz="4" w:space="0" w:color="auto"/>
              <w:left w:val="nil"/>
              <w:bottom w:val="nil"/>
              <w:right w:val="nil"/>
            </w:tcBorders>
            <w:shd w:val="clear" w:color="auto" w:fill="auto"/>
            <w:noWrap/>
            <w:vAlign w:val="center"/>
          </w:tcPr>
          <w:p w14:paraId="50BB9197" w14:textId="77777777" w:rsidR="0089544F" w:rsidRPr="00263C50" w:rsidRDefault="0089544F" w:rsidP="00186583">
            <w:pPr>
              <w:jc w:val="center"/>
              <w:rPr>
                <w:rFonts w:ascii="Times New Roman" w:hAnsi="Times New Roman" w:cs="Times New Roman"/>
                <w:color w:val="000000"/>
                <w:sz w:val="15"/>
                <w:szCs w:val="15"/>
              </w:rPr>
            </w:pPr>
          </w:p>
        </w:tc>
        <w:tc>
          <w:tcPr>
            <w:tcW w:w="845" w:type="dxa"/>
            <w:tcBorders>
              <w:top w:val="single" w:sz="4" w:space="0" w:color="auto"/>
              <w:left w:val="nil"/>
              <w:bottom w:val="nil"/>
              <w:right w:val="nil"/>
            </w:tcBorders>
            <w:shd w:val="clear" w:color="auto" w:fill="auto"/>
            <w:noWrap/>
            <w:vAlign w:val="center"/>
          </w:tcPr>
          <w:p w14:paraId="46CD3542" w14:textId="77777777" w:rsidR="0089544F" w:rsidRPr="00263C50" w:rsidRDefault="0089544F" w:rsidP="00186583">
            <w:pPr>
              <w:jc w:val="center"/>
              <w:rPr>
                <w:rFonts w:ascii="Times New Roman" w:hAnsi="Times New Roman" w:cs="Times New Roman"/>
                <w:color w:val="000000"/>
                <w:sz w:val="15"/>
                <w:szCs w:val="15"/>
              </w:rPr>
            </w:pPr>
          </w:p>
        </w:tc>
        <w:tc>
          <w:tcPr>
            <w:tcW w:w="844" w:type="dxa"/>
            <w:tcBorders>
              <w:top w:val="single" w:sz="4" w:space="0" w:color="auto"/>
              <w:left w:val="nil"/>
              <w:bottom w:val="nil"/>
              <w:right w:val="nil"/>
            </w:tcBorders>
            <w:shd w:val="clear" w:color="auto" w:fill="auto"/>
            <w:noWrap/>
            <w:vAlign w:val="center"/>
          </w:tcPr>
          <w:p w14:paraId="4980F1ED" w14:textId="77777777" w:rsidR="0089544F" w:rsidRPr="00263C50" w:rsidRDefault="0089544F" w:rsidP="00186583">
            <w:pPr>
              <w:jc w:val="center"/>
              <w:rPr>
                <w:rFonts w:ascii="Times New Roman" w:hAnsi="Times New Roman" w:cs="Times New Roman"/>
                <w:color w:val="000000"/>
                <w:sz w:val="15"/>
                <w:szCs w:val="15"/>
              </w:rPr>
            </w:pPr>
          </w:p>
        </w:tc>
        <w:tc>
          <w:tcPr>
            <w:tcW w:w="864" w:type="dxa"/>
            <w:tcBorders>
              <w:top w:val="single" w:sz="4" w:space="0" w:color="auto"/>
              <w:left w:val="nil"/>
              <w:bottom w:val="nil"/>
              <w:right w:val="nil"/>
            </w:tcBorders>
            <w:shd w:val="clear" w:color="auto" w:fill="auto"/>
            <w:noWrap/>
            <w:vAlign w:val="center"/>
          </w:tcPr>
          <w:p w14:paraId="72CDFFD7" w14:textId="77777777" w:rsidR="0089544F" w:rsidRPr="00263C50" w:rsidRDefault="0089544F" w:rsidP="00186583">
            <w:pPr>
              <w:jc w:val="center"/>
              <w:rPr>
                <w:rFonts w:ascii="Times New Roman" w:hAnsi="Times New Roman" w:cs="Times New Roman"/>
                <w:color w:val="000000"/>
                <w:sz w:val="15"/>
                <w:szCs w:val="15"/>
              </w:rPr>
            </w:pPr>
          </w:p>
        </w:tc>
        <w:tc>
          <w:tcPr>
            <w:tcW w:w="844" w:type="dxa"/>
            <w:tcBorders>
              <w:top w:val="single" w:sz="4" w:space="0" w:color="auto"/>
              <w:left w:val="nil"/>
              <w:bottom w:val="nil"/>
              <w:right w:val="nil"/>
            </w:tcBorders>
            <w:shd w:val="clear" w:color="auto" w:fill="auto"/>
            <w:noWrap/>
            <w:vAlign w:val="center"/>
          </w:tcPr>
          <w:p w14:paraId="63DCC6C7" w14:textId="77777777" w:rsidR="0089544F" w:rsidRPr="00263C50" w:rsidRDefault="0089544F" w:rsidP="00186583">
            <w:pPr>
              <w:jc w:val="center"/>
              <w:rPr>
                <w:rFonts w:ascii="Times New Roman" w:hAnsi="Times New Roman" w:cs="Times New Roman"/>
                <w:color w:val="000000"/>
                <w:sz w:val="15"/>
                <w:szCs w:val="15"/>
              </w:rPr>
            </w:pPr>
          </w:p>
        </w:tc>
        <w:tc>
          <w:tcPr>
            <w:tcW w:w="844" w:type="dxa"/>
            <w:tcBorders>
              <w:top w:val="single" w:sz="4" w:space="0" w:color="auto"/>
              <w:left w:val="nil"/>
              <w:bottom w:val="nil"/>
              <w:right w:val="nil"/>
            </w:tcBorders>
            <w:shd w:val="clear" w:color="auto" w:fill="auto"/>
            <w:noWrap/>
            <w:vAlign w:val="center"/>
          </w:tcPr>
          <w:p w14:paraId="27C29AE2" w14:textId="77777777" w:rsidR="0089544F" w:rsidRPr="00263C50" w:rsidRDefault="0089544F" w:rsidP="00186583">
            <w:pPr>
              <w:jc w:val="center"/>
              <w:rPr>
                <w:rFonts w:ascii="Times New Roman" w:hAnsi="Times New Roman" w:cs="Times New Roman"/>
                <w:color w:val="000000"/>
                <w:sz w:val="15"/>
                <w:szCs w:val="15"/>
              </w:rPr>
            </w:pPr>
          </w:p>
        </w:tc>
        <w:tc>
          <w:tcPr>
            <w:tcW w:w="845" w:type="dxa"/>
            <w:tcBorders>
              <w:top w:val="single" w:sz="4" w:space="0" w:color="auto"/>
              <w:left w:val="nil"/>
              <w:bottom w:val="nil"/>
              <w:right w:val="nil"/>
            </w:tcBorders>
            <w:shd w:val="clear" w:color="auto" w:fill="auto"/>
            <w:noWrap/>
            <w:vAlign w:val="center"/>
          </w:tcPr>
          <w:p w14:paraId="6FBC9ABA" w14:textId="77777777" w:rsidR="0089544F" w:rsidRPr="00263C50" w:rsidRDefault="0089544F" w:rsidP="00186583">
            <w:pPr>
              <w:jc w:val="center"/>
              <w:rPr>
                <w:rFonts w:ascii="Times New Roman" w:hAnsi="Times New Roman" w:cs="Times New Roman"/>
                <w:color w:val="000000"/>
                <w:sz w:val="15"/>
                <w:szCs w:val="15"/>
              </w:rPr>
            </w:pPr>
          </w:p>
        </w:tc>
        <w:tc>
          <w:tcPr>
            <w:tcW w:w="844" w:type="dxa"/>
            <w:tcBorders>
              <w:top w:val="single" w:sz="4" w:space="0" w:color="auto"/>
              <w:left w:val="nil"/>
              <w:bottom w:val="nil"/>
              <w:right w:val="nil"/>
            </w:tcBorders>
            <w:shd w:val="clear" w:color="auto" w:fill="auto"/>
            <w:noWrap/>
            <w:vAlign w:val="center"/>
          </w:tcPr>
          <w:p w14:paraId="3188CE7A" w14:textId="77777777" w:rsidR="0089544F" w:rsidRPr="00263C50" w:rsidRDefault="0089544F" w:rsidP="00186583">
            <w:pPr>
              <w:jc w:val="center"/>
              <w:rPr>
                <w:rFonts w:ascii="Times New Roman" w:hAnsi="Times New Roman" w:cs="Times New Roman"/>
                <w:color w:val="000000"/>
                <w:sz w:val="15"/>
                <w:szCs w:val="15"/>
              </w:rPr>
            </w:pPr>
          </w:p>
        </w:tc>
        <w:tc>
          <w:tcPr>
            <w:tcW w:w="845" w:type="dxa"/>
            <w:tcBorders>
              <w:top w:val="single" w:sz="4" w:space="0" w:color="auto"/>
              <w:left w:val="nil"/>
              <w:bottom w:val="nil"/>
              <w:right w:val="nil"/>
            </w:tcBorders>
            <w:shd w:val="clear" w:color="auto" w:fill="auto"/>
            <w:noWrap/>
            <w:vAlign w:val="center"/>
          </w:tcPr>
          <w:p w14:paraId="6865F05D" w14:textId="77777777" w:rsidR="0089544F" w:rsidRPr="00263C50" w:rsidRDefault="0089544F" w:rsidP="00186583">
            <w:pPr>
              <w:jc w:val="center"/>
              <w:rPr>
                <w:rFonts w:ascii="Times New Roman" w:hAnsi="Times New Roman" w:cs="Times New Roman"/>
                <w:color w:val="000000"/>
                <w:sz w:val="15"/>
                <w:szCs w:val="15"/>
              </w:rPr>
            </w:pPr>
          </w:p>
        </w:tc>
        <w:tc>
          <w:tcPr>
            <w:tcW w:w="844" w:type="dxa"/>
            <w:tcBorders>
              <w:top w:val="single" w:sz="4" w:space="0" w:color="auto"/>
              <w:left w:val="nil"/>
              <w:bottom w:val="nil"/>
              <w:right w:val="nil"/>
            </w:tcBorders>
            <w:shd w:val="clear" w:color="auto" w:fill="auto"/>
            <w:noWrap/>
            <w:vAlign w:val="center"/>
          </w:tcPr>
          <w:p w14:paraId="29C31C05" w14:textId="77777777" w:rsidR="0089544F" w:rsidRPr="00263C50" w:rsidRDefault="0089544F" w:rsidP="00186583">
            <w:pPr>
              <w:jc w:val="center"/>
              <w:rPr>
                <w:rFonts w:ascii="Times New Roman" w:hAnsi="Times New Roman" w:cs="Times New Roman"/>
                <w:color w:val="000000"/>
                <w:sz w:val="15"/>
                <w:szCs w:val="15"/>
              </w:rPr>
            </w:pPr>
          </w:p>
        </w:tc>
        <w:tc>
          <w:tcPr>
            <w:tcW w:w="845" w:type="dxa"/>
            <w:tcBorders>
              <w:top w:val="single" w:sz="4" w:space="0" w:color="auto"/>
              <w:left w:val="nil"/>
              <w:bottom w:val="nil"/>
              <w:right w:val="nil"/>
            </w:tcBorders>
            <w:shd w:val="clear" w:color="auto" w:fill="auto"/>
            <w:noWrap/>
            <w:vAlign w:val="center"/>
          </w:tcPr>
          <w:p w14:paraId="3D16A570" w14:textId="77777777" w:rsidR="0089544F" w:rsidRPr="00263C50" w:rsidRDefault="0089544F" w:rsidP="00186583">
            <w:pPr>
              <w:jc w:val="center"/>
              <w:rPr>
                <w:rFonts w:ascii="Times New Roman" w:hAnsi="Times New Roman" w:cs="Times New Roman"/>
                <w:color w:val="000000"/>
                <w:sz w:val="15"/>
                <w:szCs w:val="15"/>
              </w:rPr>
            </w:pPr>
          </w:p>
        </w:tc>
      </w:tr>
      <w:tr w:rsidR="0089544F" w:rsidRPr="00263C50" w14:paraId="47B07E65" w14:textId="77777777" w:rsidTr="005668E0">
        <w:trPr>
          <w:trHeight w:val="20"/>
        </w:trPr>
        <w:tc>
          <w:tcPr>
            <w:tcW w:w="1008" w:type="dxa"/>
            <w:tcBorders>
              <w:top w:val="nil"/>
              <w:left w:val="nil"/>
              <w:bottom w:val="nil"/>
              <w:right w:val="nil"/>
            </w:tcBorders>
            <w:shd w:val="clear" w:color="auto" w:fill="auto"/>
            <w:noWrap/>
            <w:vAlign w:val="center"/>
            <w:hideMark/>
          </w:tcPr>
          <w:p w14:paraId="22B4E8CC"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roofErr w:type="spellStart"/>
            <w:r w:rsidRPr="00263C50">
              <w:rPr>
                <w:rFonts w:ascii="Times New Roman" w:hAnsi="Times New Roman" w:cs="Times New Roman"/>
                <w:i/>
                <w:color w:val="000000"/>
                <w:sz w:val="15"/>
                <w:szCs w:val="15"/>
              </w:rPr>
              <w:t>IntroAcctg</w:t>
            </w:r>
            <w:proofErr w:type="spellEnd"/>
          </w:p>
        </w:tc>
        <w:tc>
          <w:tcPr>
            <w:tcW w:w="844" w:type="dxa"/>
            <w:tcBorders>
              <w:top w:val="nil"/>
              <w:left w:val="nil"/>
              <w:bottom w:val="nil"/>
              <w:right w:val="nil"/>
            </w:tcBorders>
            <w:shd w:val="clear" w:color="auto" w:fill="auto"/>
            <w:noWrap/>
            <w:vAlign w:val="center"/>
            <w:hideMark/>
          </w:tcPr>
          <w:p w14:paraId="1153A0B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-0.0056</w:t>
            </w:r>
          </w:p>
        </w:tc>
        <w:tc>
          <w:tcPr>
            <w:tcW w:w="844" w:type="dxa"/>
            <w:tcBorders>
              <w:top w:val="nil"/>
              <w:left w:val="nil"/>
              <w:bottom w:val="nil"/>
              <w:right w:val="nil"/>
            </w:tcBorders>
            <w:shd w:val="clear" w:color="auto" w:fill="auto"/>
            <w:noWrap/>
            <w:vAlign w:val="center"/>
            <w:hideMark/>
          </w:tcPr>
          <w:p w14:paraId="5048842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0.024</w:t>
            </w:r>
          </w:p>
        </w:tc>
        <w:tc>
          <w:tcPr>
            <w:tcW w:w="845" w:type="dxa"/>
            <w:tcBorders>
              <w:top w:val="nil"/>
              <w:left w:val="nil"/>
              <w:bottom w:val="nil"/>
              <w:right w:val="nil"/>
            </w:tcBorders>
            <w:shd w:val="clear" w:color="auto" w:fill="auto"/>
            <w:noWrap/>
            <w:vAlign w:val="center"/>
            <w:hideMark/>
          </w:tcPr>
          <w:p w14:paraId="0903EFC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0.023</w:t>
            </w:r>
          </w:p>
        </w:tc>
        <w:tc>
          <w:tcPr>
            <w:tcW w:w="844" w:type="dxa"/>
            <w:tcBorders>
              <w:top w:val="nil"/>
              <w:left w:val="nil"/>
              <w:bottom w:val="nil"/>
              <w:right w:val="nil"/>
            </w:tcBorders>
            <w:shd w:val="clear" w:color="auto" w:fill="auto"/>
            <w:noWrap/>
            <w:vAlign w:val="center"/>
            <w:hideMark/>
          </w:tcPr>
          <w:p w14:paraId="7712133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0.028</w:t>
            </w:r>
          </w:p>
        </w:tc>
        <w:tc>
          <w:tcPr>
            <w:tcW w:w="845" w:type="dxa"/>
            <w:tcBorders>
              <w:top w:val="nil"/>
              <w:left w:val="nil"/>
              <w:bottom w:val="nil"/>
              <w:right w:val="nil"/>
            </w:tcBorders>
            <w:shd w:val="clear" w:color="auto" w:fill="auto"/>
            <w:noWrap/>
            <w:vAlign w:val="center"/>
            <w:hideMark/>
          </w:tcPr>
          <w:p w14:paraId="0B78C74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-0.15*</w:t>
            </w:r>
          </w:p>
        </w:tc>
        <w:tc>
          <w:tcPr>
            <w:tcW w:w="844" w:type="dxa"/>
            <w:tcBorders>
              <w:top w:val="nil"/>
              <w:left w:val="nil"/>
              <w:bottom w:val="nil"/>
              <w:right w:val="nil"/>
            </w:tcBorders>
            <w:shd w:val="clear" w:color="auto" w:fill="auto"/>
            <w:noWrap/>
            <w:vAlign w:val="center"/>
            <w:hideMark/>
          </w:tcPr>
          <w:p w14:paraId="3380D62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0.11</w:t>
            </w:r>
          </w:p>
        </w:tc>
        <w:tc>
          <w:tcPr>
            <w:tcW w:w="864" w:type="dxa"/>
            <w:tcBorders>
              <w:top w:val="nil"/>
              <w:left w:val="nil"/>
              <w:bottom w:val="nil"/>
              <w:right w:val="nil"/>
            </w:tcBorders>
            <w:shd w:val="clear" w:color="auto" w:fill="auto"/>
            <w:noWrap/>
            <w:vAlign w:val="center"/>
            <w:hideMark/>
          </w:tcPr>
          <w:p w14:paraId="70A4E30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-0.094</w:t>
            </w:r>
          </w:p>
        </w:tc>
        <w:tc>
          <w:tcPr>
            <w:tcW w:w="844" w:type="dxa"/>
            <w:tcBorders>
              <w:top w:val="nil"/>
              <w:left w:val="nil"/>
              <w:bottom w:val="nil"/>
              <w:right w:val="nil"/>
            </w:tcBorders>
            <w:shd w:val="clear" w:color="auto" w:fill="auto"/>
            <w:noWrap/>
            <w:vAlign w:val="center"/>
            <w:hideMark/>
          </w:tcPr>
          <w:p w14:paraId="00A627E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0.017</w:t>
            </w:r>
          </w:p>
        </w:tc>
        <w:tc>
          <w:tcPr>
            <w:tcW w:w="844" w:type="dxa"/>
            <w:tcBorders>
              <w:top w:val="nil"/>
              <w:left w:val="nil"/>
              <w:bottom w:val="nil"/>
              <w:right w:val="nil"/>
            </w:tcBorders>
            <w:shd w:val="clear" w:color="auto" w:fill="auto"/>
            <w:noWrap/>
            <w:vAlign w:val="center"/>
            <w:hideMark/>
          </w:tcPr>
          <w:p w14:paraId="0154E6B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-0.095</w:t>
            </w:r>
          </w:p>
        </w:tc>
        <w:tc>
          <w:tcPr>
            <w:tcW w:w="845" w:type="dxa"/>
            <w:tcBorders>
              <w:top w:val="nil"/>
              <w:left w:val="nil"/>
              <w:bottom w:val="nil"/>
              <w:right w:val="nil"/>
            </w:tcBorders>
            <w:shd w:val="clear" w:color="auto" w:fill="auto"/>
            <w:noWrap/>
            <w:vAlign w:val="center"/>
            <w:hideMark/>
          </w:tcPr>
          <w:p w14:paraId="3122C2C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0.0054</w:t>
            </w:r>
          </w:p>
        </w:tc>
        <w:tc>
          <w:tcPr>
            <w:tcW w:w="844" w:type="dxa"/>
            <w:tcBorders>
              <w:top w:val="nil"/>
              <w:left w:val="nil"/>
              <w:bottom w:val="nil"/>
              <w:right w:val="nil"/>
            </w:tcBorders>
            <w:shd w:val="clear" w:color="auto" w:fill="auto"/>
            <w:noWrap/>
            <w:vAlign w:val="center"/>
            <w:hideMark/>
          </w:tcPr>
          <w:p w14:paraId="1D96632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-0.12</w:t>
            </w:r>
          </w:p>
        </w:tc>
        <w:tc>
          <w:tcPr>
            <w:tcW w:w="845" w:type="dxa"/>
            <w:tcBorders>
              <w:top w:val="nil"/>
              <w:left w:val="nil"/>
              <w:bottom w:val="nil"/>
              <w:right w:val="nil"/>
            </w:tcBorders>
            <w:shd w:val="clear" w:color="auto" w:fill="auto"/>
            <w:noWrap/>
            <w:vAlign w:val="center"/>
            <w:hideMark/>
          </w:tcPr>
          <w:p w14:paraId="2D65C19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-0.093</w:t>
            </w:r>
          </w:p>
        </w:tc>
        <w:tc>
          <w:tcPr>
            <w:tcW w:w="844" w:type="dxa"/>
            <w:tcBorders>
              <w:top w:val="nil"/>
              <w:left w:val="nil"/>
              <w:bottom w:val="nil"/>
              <w:right w:val="nil"/>
            </w:tcBorders>
            <w:shd w:val="clear" w:color="auto" w:fill="auto"/>
            <w:noWrap/>
            <w:vAlign w:val="center"/>
            <w:hideMark/>
          </w:tcPr>
          <w:p w14:paraId="33C0A2D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-0.060</w:t>
            </w:r>
          </w:p>
        </w:tc>
        <w:tc>
          <w:tcPr>
            <w:tcW w:w="845" w:type="dxa"/>
            <w:tcBorders>
              <w:top w:val="nil"/>
              <w:left w:val="nil"/>
              <w:bottom w:val="nil"/>
              <w:right w:val="nil"/>
            </w:tcBorders>
            <w:shd w:val="clear" w:color="auto" w:fill="auto"/>
            <w:noWrap/>
            <w:vAlign w:val="center"/>
            <w:hideMark/>
          </w:tcPr>
          <w:p w14:paraId="0033362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0.035</w:t>
            </w:r>
          </w:p>
        </w:tc>
      </w:tr>
      <w:tr w:rsidR="0089544F" w:rsidRPr="00263C50" w14:paraId="2F9AAF02" w14:textId="77777777" w:rsidTr="005668E0">
        <w:trPr>
          <w:trHeight w:val="20"/>
        </w:trPr>
        <w:tc>
          <w:tcPr>
            <w:tcW w:w="1008" w:type="dxa"/>
            <w:tcBorders>
              <w:top w:val="nil"/>
              <w:left w:val="nil"/>
              <w:bottom w:val="nil"/>
              <w:right w:val="nil"/>
            </w:tcBorders>
            <w:shd w:val="clear" w:color="auto" w:fill="auto"/>
            <w:noWrap/>
            <w:vAlign w:val="center"/>
            <w:hideMark/>
          </w:tcPr>
          <w:p w14:paraId="58EDC830"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
        </w:tc>
        <w:tc>
          <w:tcPr>
            <w:tcW w:w="844" w:type="dxa"/>
            <w:tcBorders>
              <w:top w:val="nil"/>
              <w:left w:val="nil"/>
              <w:bottom w:val="nil"/>
              <w:right w:val="nil"/>
            </w:tcBorders>
            <w:shd w:val="clear" w:color="auto" w:fill="auto"/>
            <w:noWrap/>
            <w:vAlign w:val="center"/>
            <w:hideMark/>
          </w:tcPr>
          <w:p w14:paraId="3525C1A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(-0.051)</w:t>
            </w:r>
          </w:p>
        </w:tc>
        <w:tc>
          <w:tcPr>
            <w:tcW w:w="844" w:type="dxa"/>
            <w:tcBorders>
              <w:top w:val="nil"/>
              <w:left w:val="nil"/>
              <w:bottom w:val="nil"/>
              <w:right w:val="nil"/>
            </w:tcBorders>
            <w:shd w:val="clear" w:color="auto" w:fill="auto"/>
            <w:noWrap/>
            <w:vAlign w:val="center"/>
            <w:hideMark/>
          </w:tcPr>
          <w:p w14:paraId="048363A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(0.26)</w:t>
            </w:r>
          </w:p>
        </w:tc>
        <w:tc>
          <w:tcPr>
            <w:tcW w:w="845" w:type="dxa"/>
            <w:tcBorders>
              <w:top w:val="nil"/>
              <w:left w:val="nil"/>
              <w:bottom w:val="nil"/>
              <w:right w:val="nil"/>
            </w:tcBorders>
            <w:shd w:val="clear" w:color="auto" w:fill="auto"/>
            <w:noWrap/>
            <w:vAlign w:val="center"/>
            <w:hideMark/>
          </w:tcPr>
          <w:p w14:paraId="3F9225A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(0.22)</w:t>
            </w:r>
          </w:p>
        </w:tc>
        <w:tc>
          <w:tcPr>
            <w:tcW w:w="844" w:type="dxa"/>
            <w:tcBorders>
              <w:top w:val="nil"/>
              <w:left w:val="nil"/>
              <w:bottom w:val="nil"/>
              <w:right w:val="nil"/>
            </w:tcBorders>
            <w:shd w:val="clear" w:color="auto" w:fill="auto"/>
            <w:noWrap/>
            <w:vAlign w:val="center"/>
            <w:hideMark/>
          </w:tcPr>
          <w:p w14:paraId="64BA5AE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(0.31)</w:t>
            </w:r>
          </w:p>
        </w:tc>
        <w:tc>
          <w:tcPr>
            <w:tcW w:w="845" w:type="dxa"/>
            <w:tcBorders>
              <w:top w:val="nil"/>
              <w:left w:val="nil"/>
              <w:bottom w:val="nil"/>
              <w:right w:val="nil"/>
            </w:tcBorders>
            <w:shd w:val="clear" w:color="auto" w:fill="auto"/>
            <w:noWrap/>
            <w:vAlign w:val="center"/>
            <w:hideMark/>
          </w:tcPr>
          <w:p w14:paraId="5C3EC38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(-1.86)</w:t>
            </w:r>
          </w:p>
        </w:tc>
        <w:tc>
          <w:tcPr>
            <w:tcW w:w="844" w:type="dxa"/>
            <w:tcBorders>
              <w:top w:val="nil"/>
              <w:left w:val="nil"/>
              <w:bottom w:val="nil"/>
              <w:right w:val="nil"/>
            </w:tcBorders>
            <w:shd w:val="clear" w:color="auto" w:fill="auto"/>
            <w:noWrap/>
            <w:vAlign w:val="center"/>
            <w:hideMark/>
          </w:tcPr>
          <w:p w14:paraId="6EDF3FC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(1.29)</w:t>
            </w:r>
          </w:p>
        </w:tc>
        <w:tc>
          <w:tcPr>
            <w:tcW w:w="864" w:type="dxa"/>
            <w:tcBorders>
              <w:top w:val="nil"/>
              <w:left w:val="nil"/>
              <w:bottom w:val="nil"/>
              <w:right w:val="nil"/>
            </w:tcBorders>
            <w:shd w:val="clear" w:color="auto" w:fill="auto"/>
            <w:noWrap/>
            <w:vAlign w:val="center"/>
            <w:hideMark/>
          </w:tcPr>
          <w:p w14:paraId="059E57D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(-1.24)</w:t>
            </w:r>
          </w:p>
        </w:tc>
        <w:tc>
          <w:tcPr>
            <w:tcW w:w="844" w:type="dxa"/>
            <w:tcBorders>
              <w:top w:val="nil"/>
              <w:left w:val="nil"/>
              <w:bottom w:val="nil"/>
              <w:right w:val="nil"/>
            </w:tcBorders>
            <w:shd w:val="clear" w:color="auto" w:fill="auto"/>
            <w:noWrap/>
            <w:vAlign w:val="center"/>
            <w:hideMark/>
          </w:tcPr>
          <w:p w14:paraId="269C7C8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(0.16)</w:t>
            </w:r>
          </w:p>
        </w:tc>
        <w:tc>
          <w:tcPr>
            <w:tcW w:w="844" w:type="dxa"/>
            <w:tcBorders>
              <w:top w:val="nil"/>
              <w:left w:val="nil"/>
              <w:bottom w:val="nil"/>
              <w:right w:val="nil"/>
            </w:tcBorders>
            <w:shd w:val="clear" w:color="auto" w:fill="auto"/>
            <w:noWrap/>
            <w:vAlign w:val="center"/>
            <w:hideMark/>
          </w:tcPr>
          <w:p w14:paraId="5C62A52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(-0.90)</w:t>
            </w:r>
          </w:p>
        </w:tc>
        <w:tc>
          <w:tcPr>
            <w:tcW w:w="845" w:type="dxa"/>
            <w:tcBorders>
              <w:top w:val="nil"/>
              <w:left w:val="nil"/>
              <w:bottom w:val="nil"/>
              <w:right w:val="nil"/>
            </w:tcBorders>
            <w:shd w:val="clear" w:color="auto" w:fill="auto"/>
            <w:noWrap/>
            <w:vAlign w:val="center"/>
            <w:hideMark/>
          </w:tcPr>
          <w:p w14:paraId="4F65CB8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(0.052)</w:t>
            </w:r>
          </w:p>
        </w:tc>
        <w:tc>
          <w:tcPr>
            <w:tcW w:w="844" w:type="dxa"/>
            <w:tcBorders>
              <w:top w:val="nil"/>
              <w:left w:val="nil"/>
              <w:bottom w:val="nil"/>
              <w:right w:val="nil"/>
            </w:tcBorders>
            <w:shd w:val="clear" w:color="auto" w:fill="auto"/>
            <w:noWrap/>
            <w:vAlign w:val="center"/>
            <w:hideMark/>
          </w:tcPr>
          <w:p w14:paraId="0F3D495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(-1.48)</w:t>
            </w:r>
          </w:p>
        </w:tc>
        <w:tc>
          <w:tcPr>
            <w:tcW w:w="845" w:type="dxa"/>
            <w:tcBorders>
              <w:top w:val="nil"/>
              <w:left w:val="nil"/>
              <w:bottom w:val="nil"/>
              <w:right w:val="nil"/>
            </w:tcBorders>
            <w:shd w:val="clear" w:color="auto" w:fill="auto"/>
            <w:noWrap/>
            <w:vAlign w:val="center"/>
            <w:hideMark/>
          </w:tcPr>
          <w:p w14:paraId="3D3365E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(-0.91)</w:t>
            </w:r>
          </w:p>
        </w:tc>
        <w:tc>
          <w:tcPr>
            <w:tcW w:w="844" w:type="dxa"/>
            <w:tcBorders>
              <w:top w:val="nil"/>
              <w:left w:val="nil"/>
              <w:bottom w:val="nil"/>
              <w:right w:val="nil"/>
            </w:tcBorders>
            <w:shd w:val="clear" w:color="auto" w:fill="auto"/>
            <w:noWrap/>
            <w:vAlign w:val="center"/>
            <w:hideMark/>
          </w:tcPr>
          <w:p w14:paraId="77D8F37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(-0.59)</w:t>
            </w:r>
          </w:p>
        </w:tc>
        <w:tc>
          <w:tcPr>
            <w:tcW w:w="845" w:type="dxa"/>
            <w:tcBorders>
              <w:top w:val="nil"/>
              <w:left w:val="nil"/>
              <w:bottom w:val="nil"/>
              <w:right w:val="nil"/>
            </w:tcBorders>
            <w:shd w:val="clear" w:color="auto" w:fill="auto"/>
            <w:noWrap/>
            <w:vAlign w:val="center"/>
            <w:hideMark/>
          </w:tcPr>
          <w:p w14:paraId="5901A81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(0.36)</w:t>
            </w:r>
          </w:p>
        </w:tc>
      </w:tr>
      <w:tr w:rsidR="0089544F" w:rsidRPr="00263C50" w14:paraId="0D836847" w14:textId="77777777" w:rsidTr="005668E0">
        <w:trPr>
          <w:trHeight w:val="20"/>
        </w:trPr>
        <w:tc>
          <w:tcPr>
            <w:tcW w:w="1008" w:type="dxa"/>
            <w:tcBorders>
              <w:top w:val="nil"/>
              <w:left w:val="nil"/>
              <w:bottom w:val="nil"/>
              <w:right w:val="nil"/>
            </w:tcBorders>
            <w:shd w:val="clear" w:color="auto" w:fill="auto"/>
            <w:noWrap/>
            <w:vAlign w:val="center"/>
            <w:hideMark/>
          </w:tcPr>
          <w:p w14:paraId="5C38B717"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roofErr w:type="spellStart"/>
            <w:r w:rsidRPr="00263C50">
              <w:rPr>
                <w:rFonts w:ascii="Times New Roman" w:hAnsi="Times New Roman" w:cs="Times New Roman"/>
                <w:i/>
                <w:color w:val="000000"/>
                <w:sz w:val="15"/>
                <w:szCs w:val="15"/>
              </w:rPr>
              <w:t>UpperAcctg</w:t>
            </w:r>
            <w:proofErr w:type="spellEnd"/>
          </w:p>
        </w:tc>
        <w:tc>
          <w:tcPr>
            <w:tcW w:w="844" w:type="dxa"/>
            <w:tcBorders>
              <w:top w:val="nil"/>
              <w:left w:val="nil"/>
              <w:bottom w:val="nil"/>
              <w:right w:val="nil"/>
            </w:tcBorders>
            <w:shd w:val="clear" w:color="auto" w:fill="auto"/>
            <w:noWrap/>
            <w:vAlign w:val="center"/>
            <w:hideMark/>
          </w:tcPr>
          <w:p w14:paraId="06D4E59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0.069</w:t>
            </w:r>
          </w:p>
        </w:tc>
        <w:tc>
          <w:tcPr>
            <w:tcW w:w="844" w:type="dxa"/>
            <w:tcBorders>
              <w:top w:val="nil"/>
              <w:left w:val="nil"/>
              <w:bottom w:val="nil"/>
              <w:right w:val="nil"/>
            </w:tcBorders>
            <w:shd w:val="clear" w:color="auto" w:fill="auto"/>
            <w:noWrap/>
            <w:vAlign w:val="center"/>
            <w:hideMark/>
          </w:tcPr>
          <w:p w14:paraId="3079A65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-0.0085</w:t>
            </w:r>
          </w:p>
        </w:tc>
        <w:tc>
          <w:tcPr>
            <w:tcW w:w="845" w:type="dxa"/>
            <w:tcBorders>
              <w:top w:val="nil"/>
              <w:left w:val="nil"/>
              <w:bottom w:val="nil"/>
              <w:right w:val="nil"/>
            </w:tcBorders>
            <w:shd w:val="clear" w:color="auto" w:fill="auto"/>
            <w:noWrap/>
            <w:vAlign w:val="center"/>
            <w:hideMark/>
          </w:tcPr>
          <w:p w14:paraId="45EECCB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0.038</w:t>
            </w:r>
          </w:p>
        </w:tc>
        <w:tc>
          <w:tcPr>
            <w:tcW w:w="844" w:type="dxa"/>
            <w:tcBorders>
              <w:top w:val="nil"/>
              <w:left w:val="nil"/>
              <w:bottom w:val="nil"/>
              <w:right w:val="nil"/>
            </w:tcBorders>
            <w:shd w:val="clear" w:color="auto" w:fill="auto"/>
            <w:noWrap/>
            <w:vAlign w:val="center"/>
            <w:hideMark/>
          </w:tcPr>
          <w:p w14:paraId="753161E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0.24*</w:t>
            </w:r>
          </w:p>
        </w:tc>
        <w:tc>
          <w:tcPr>
            <w:tcW w:w="845" w:type="dxa"/>
            <w:tcBorders>
              <w:top w:val="nil"/>
              <w:left w:val="nil"/>
              <w:bottom w:val="nil"/>
              <w:right w:val="nil"/>
            </w:tcBorders>
            <w:shd w:val="clear" w:color="auto" w:fill="auto"/>
            <w:noWrap/>
            <w:vAlign w:val="center"/>
            <w:hideMark/>
          </w:tcPr>
          <w:p w14:paraId="02859C5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0.011</w:t>
            </w:r>
          </w:p>
        </w:tc>
        <w:tc>
          <w:tcPr>
            <w:tcW w:w="844" w:type="dxa"/>
            <w:tcBorders>
              <w:top w:val="nil"/>
              <w:left w:val="nil"/>
              <w:bottom w:val="nil"/>
              <w:right w:val="nil"/>
            </w:tcBorders>
            <w:shd w:val="clear" w:color="auto" w:fill="auto"/>
            <w:noWrap/>
            <w:vAlign w:val="center"/>
            <w:hideMark/>
          </w:tcPr>
          <w:p w14:paraId="5ACB326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0.18*</w:t>
            </w:r>
          </w:p>
        </w:tc>
        <w:tc>
          <w:tcPr>
            <w:tcW w:w="864" w:type="dxa"/>
            <w:tcBorders>
              <w:top w:val="nil"/>
              <w:left w:val="nil"/>
              <w:bottom w:val="nil"/>
              <w:right w:val="nil"/>
            </w:tcBorders>
            <w:shd w:val="clear" w:color="auto" w:fill="auto"/>
            <w:noWrap/>
            <w:vAlign w:val="center"/>
            <w:hideMark/>
          </w:tcPr>
          <w:p w14:paraId="4058BAB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-0.050</w:t>
            </w:r>
          </w:p>
        </w:tc>
        <w:tc>
          <w:tcPr>
            <w:tcW w:w="844" w:type="dxa"/>
            <w:tcBorders>
              <w:top w:val="nil"/>
              <w:left w:val="nil"/>
              <w:bottom w:val="nil"/>
              <w:right w:val="nil"/>
            </w:tcBorders>
            <w:shd w:val="clear" w:color="auto" w:fill="auto"/>
            <w:noWrap/>
            <w:vAlign w:val="center"/>
            <w:hideMark/>
          </w:tcPr>
          <w:p w14:paraId="26FFB22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0.16</w:t>
            </w:r>
          </w:p>
        </w:tc>
        <w:tc>
          <w:tcPr>
            <w:tcW w:w="844" w:type="dxa"/>
            <w:tcBorders>
              <w:top w:val="nil"/>
              <w:left w:val="nil"/>
              <w:bottom w:val="nil"/>
              <w:right w:val="nil"/>
            </w:tcBorders>
            <w:shd w:val="clear" w:color="auto" w:fill="auto"/>
            <w:noWrap/>
            <w:vAlign w:val="center"/>
            <w:hideMark/>
          </w:tcPr>
          <w:p w14:paraId="3A63754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0.054</w:t>
            </w:r>
          </w:p>
        </w:tc>
        <w:tc>
          <w:tcPr>
            <w:tcW w:w="845" w:type="dxa"/>
            <w:tcBorders>
              <w:top w:val="nil"/>
              <w:left w:val="nil"/>
              <w:bottom w:val="nil"/>
              <w:right w:val="nil"/>
            </w:tcBorders>
            <w:shd w:val="clear" w:color="auto" w:fill="auto"/>
            <w:noWrap/>
            <w:vAlign w:val="center"/>
            <w:hideMark/>
          </w:tcPr>
          <w:p w14:paraId="149764E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-0.13</w:t>
            </w:r>
          </w:p>
        </w:tc>
        <w:tc>
          <w:tcPr>
            <w:tcW w:w="844" w:type="dxa"/>
            <w:tcBorders>
              <w:top w:val="nil"/>
              <w:left w:val="nil"/>
              <w:bottom w:val="nil"/>
              <w:right w:val="nil"/>
            </w:tcBorders>
            <w:shd w:val="clear" w:color="auto" w:fill="auto"/>
            <w:noWrap/>
            <w:vAlign w:val="center"/>
            <w:hideMark/>
          </w:tcPr>
          <w:p w14:paraId="0F070DF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-0.11</w:t>
            </w:r>
          </w:p>
        </w:tc>
        <w:tc>
          <w:tcPr>
            <w:tcW w:w="845" w:type="dxa"/>
            <w:tcBorders>
              <w:top w:val="nil"/>
              <w:left w:val="nil"/>
              <w:bottom w:val="nil"/>
              <w:right w:val="nil"/>
            </w:tcBorders>
            <w:shd w:val="clear" w:color="auto" w:fill="auto"/>
            <w:noWrap/>
            <w:vAlign w:val="center"/>
            <w:hideMark/>
          </w:tcPr>
          <w:p w14:paraId="1CB0B0D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-0.038</w:t>
            </w:r>
          </w:p>
        </w:tc>
        <w:tc>
          <w:tcPr>
            <w:tcW w:w="844" w:type="dxa"/>
            <w:tcBorders>
              <w:top w:val="nil"/>
              <w:left w:val="nil"/>
              <w:bottom w:val="nil"/>
              <w:right w:val="nil"/>
            </w:tcBorders>
            <w:shd w:val="clear" w:color="auto" w:fill="auto"/>
            <w:noWrap/>
            <w:vAlign w:val="center"/>
            <w:hideMark/>
          </w:tcPr>
          <w:p w14:paraId="417C698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0.029</w:t>
            </w:r>
          </w:p>
        </w:tc>
        <w:tc>
          <w:tcPr>
            <w:tcW w:w="845" w:type="dxa"/>
            <w:tcBorders>
              <w:top w:val="nil"/>
              <w:left w:val="nil"/>
              <w:bottom w:val="nil"/>
              <w:right w:val="nil"/>
            </w:tcBorders>
            <w:shd w:val="clear" w:color="auto" w:fill="auto"/>
            <w:noWrap/>
            <w:vAlign w:val="center"/>
            <w:hideMark/>
          </w:tcPr>
          <w:p w14:paraId="5CE9B9A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0.024</w:t>
            </w:r>
          </w:p>
        </w:tc>
      </w:tr>
      <w:tr w:rsidR="0089544F" w:rsidRPr="00263C50" w14:paraId="6E558966" w14:textId="77777777" w:rsidTr="005668E0">
        <w:trPr>
          <w:trHeight w:val="20"/>
        </w:trPr>
        <w:tc>
          <w:tcPr>
            <w:tcW w:w="1008" w:type="dxa"/>
            <w:tcBorders>
              <w:top w:val="nil"/>
              <w:left w:val="nil"/>
              <w:bottom w:val="nil"/>
              <w:right w:val="nil"/>
            </w:tcBorders>
            <w:shd w:val="clear" w:color="auto" w:fill="auto"/>
            <w:noWrap/>
            <w:vAlign w:val="center"/>
            <w:hideMark/>
          </w:tcPr>
          <w:p w14:paraId="054418E7"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
        </w:tc>
        <w:tc>
          <w:tcPr>
            <w:tcW w:w="844" w:type="dxa"/>
            <w:tcBorders>
              <w:top w:val="nil"/>
              <w:left w:val="nil"/>
              <w:bottom w:val="nil"/>
              <w:right w:val="nil"/>
            </w:tcBorders>
            <w:shd w:val="clear" w:color="auto" w:fill="auto"/>
            <w:noWrap/>
            <w:vAlign w:val="center"/>
            <w:hideMark/>
          </w:tcPr>
          <w:p w14:paraId="207C16B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(0.49)</w:t>
            </w:r>
          </w:p>
        </w:tc>
        <w:tc>
          <w:tcPr>
            <w:tcW w:w="844" w:type="dxa"/>
            <w:tcBorders>
              <w:top w:val="nil"/>
              <w:left w:val="nil"/>
              <w:bottom w:val="nil"/>
              <w:right w:val="nil"/>
            </w:tcBorders>
            <w:shd w:val="clear" w:color="auto" w:fill="auto"/>
            <w:noWrap/>
            <w:vAlign w:val="center"/>
            <w:hideMark/>
          </w:tcPr>
          <w:p w14:paraId="5380E25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(-0.076)</w:t>
            </w:r>
          </w:p>
        </w:tc>
        <w:tc>
          <w:tcPr>
            <w:tcW w:w="845" w:type="dxa"/>
            <w:tcBorders>
              <w:top w:val="nil"/>
              <w:left w:val="nil"/>
              <w:bottom w:val="nil"/>
              <w:right w:val="nil"/>
            </w:tcBorders>
            <w:shd w:val="clear" w:color="auto" w:fill="auto"/>
            <w:noWrap/>
            <w:vAlign w:val="center"/>
            <w:hideMark/>
          </w:tcPr>
          <w:p w14:paraId="12781EB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(0.29)</w:t>
            </w:r>
          </w:p>
        </w:tc>
        <w:tc>
          <w:tcPr>
            <w:tcW w:w="844" w:type="dxa"/>
            <w:tcBorders>
              <w:top w:val="nil"/>
              <w:left w:val="nil"/>
              <w:bottom w:val="nil"/>
              <w:right w:val="nil"/>
            </w:tcBorders>
            <w:shd w:val="clear" w:color="auto" w:fill="auto"/>
            <w:noWrap/>
            <w:vAlign w:val="center"/>
            <w:hideMark/>
          </w:tcPr>
          <w:p w14:paraId="253F16A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(1.84)</w:t>
            </w:r>
          </w:p>
        </w:tc>
        <w:tc>
          <w:tcPr>
            <w:tcW w:w="845" w:type="dxa"/>
            <w:tcBorders>
              <w:top w:val="nil"/>
              <w:left w:val="nil"/>
              <w:bottom w:val="nil"/>
              <w:right w:val="nil"/>
            </w:tcBorders>
            <w:shd w:val="clear" w:color="auto" w:fill="auto"/>
            <w:noWrap/>
            <w:vAlign w:val="center"/>
            <w:hideMark/>
          </w:tcPr>
          <w:p w14:paraId="00555CD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(0.091)</w:t>
            </w:r>
          </w:p>
        </w:tc>
        <w:tc>
          <w:tcPr>
            <w:tcW w:w="844" w:type="dxa"/>
            <w:tcBorders>
              <w:top w:val="nil"/>
              <w:left w:val="nil"/>
              <w:bottom w:val="nil"/>
              <w:right w:val="nil"/>
            </w:tcBorders>
            <w:shd w:val="clear" w:color="auto" w:fill="auto"/>
            <w:noWrap/>
            <w:vAlign w:val="center"/>
            <w:hideMark/>
          </w:tcPr>
          <w:p w14:paraId="65D758D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(1.66)</w:t>
            </w:r>
          </w:p>
        </w:tc>
        <w:tc>
          <w:tcPr>
            <w:tcW w:w="864" w:type="dxa"/>
            <w:tcBorders>
              <w:top w:val="nil"/>
              <w:left w:val="nil"/>
              <w:bottom w:val="nil"/>
              <w:right w:val="nil"/>
            </w:tcBorders>
            <w:shd w:val="clear" w:color="auto" w:fill="auto"/>
            <w:noWrap/>
            <w:vAlign w:val="center"/>
            <w:hideMark/>
          </w:tcPr>
          <w:p w14:paraId="11789E9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(-0.48)</w:t>
            </w:r>
          </w:p>
        </w:tc>
        <w:tc>
          <w:tcPr>
            <w:tcW w:w="844" w:type="dxa"/>
            <w:tcBorders>
              <w:top w:val="nil"/>
              <w:left w:val="nil"/>
              <w:bottom w:val="nil"/>
              <w:right w:val="nil"/>
            </w:tcBorders>
            <w:shd w:val="clear" w:color="auto" w:fill="auto"/>
            <w:noWrap/>
            <w:vAlign w:val="center"/>
            <w:hideMark/>
          </w:tcPr>
          <w:p w14:paraId="5B69686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(1.25)</w:t>
            </w:r>
          </w:p>
        </w:tc>
        <w:tc>
          <w:tcPr>
            <w:tcW w:w="844" w:type="dxa"/>
            <w:tcBorders>
              <w:top w:val="nil"/>
              <w:left w:val="nil"/>
              <w:bottom w:val="nil"/>
              <w:right w:val="nil"/>
            </w:tcBorders>
            <w:shd w:val="clear" w:color="auto" w:fill="auto"/>
            <w:noWrap/>
            <w:vAlign w:val="center"/>
            <w:hideMark/>
          </w:tcPr>
          <w:p w14:paraId="75D6942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(0.42)</w:t>
            </w:r>
          </w:p>
        </w:tc>
        <w:tc>
          <w:tcPr>
            <w:tcW w:w="845" w:type="dxa"/>
            <w:tcBorders>
              <w:top w:val="nil"/>
              <w:left w:val="nil"/>
              <w:bottom w:val="nil"/>
              <w:right w:val="nil"/>
            </w:tcBorders>
            <w:shd w:val="clear" w:color="auto" w:fill="auto"/>
            <w:noWrap/>
            <w:vAlign w:val="center"/>
            <w:hideMark/>
          </w:tcPr>
          <w:p w14:paraId="43FD7A9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(-1.09)</w:t>
            </w:r>
          </w:p>
        </w:tc>
        <w:tc>
          <w:tcPr>
            <w:tcW w:w="844" w:type="dxa"/>
            <w:tcBorders>
              <w:top w:val="nil"/>
              <w:left w:val="nil"/>
              <w:bottom w:val="nil"/>
              <w:right w:val="nil"/>
            </w:tcBorders>
            <w:shd w:val="clear" w:color="auto" w:fill="auto"/>
            <w:noWrap/>
            <w:vAlign w:val="center"/>
            <w:hideMark/>
          </w:tcPr>
          <w:p w14:paraId="6E560E4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(-1.10)</w:t>
            </w:r>
          </w:p>
        </w:tc>
        <w:tc>
          <w:tcPr>
            <w:tcW w:w="845" w:type="dxa"/>
            <w:tcBorders>
              <w:top w:val="nil"/>
              <w:left w:val="nil"/>
              <w:bottom w:val="nil"/>
              <w:right w:val="nil"/>
            </w:tcBorders>
            <w:shd w:val="clear" w:color="auto" w:fill="auto"/>
            <w:noWrap/>
            <w:vAlign w:val="center"/>
            <w:hideMark/>
          </w:tcPr>
          <w:p w14:paraId="766EEF4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(-0.31)</w:t>
            </w:r>
          </w:p>
        </w:tc>
        <w:tc>
          <w:tcPr>
            <w:tcW w:w="844" w:type="dxa"/>
            <w:tcBorders>
              <w:top w:val="nil"/>
              <w:left w:val="nil"/>
              <w:bottom w:val="nil"/>
              <w:right w:val="nil"/>
            </w:tcBorders>
            <w:shd w:val="clear" w:color="auto" w:fill="auto"/>
            <w:noWrap/>
            <w:vAlign w:val="center"/>
            <w:hideMark/>
          </w:tcPr>
          <w:p w14:paraId="18DE018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(0.24)</w:t>
            </w:r>
          </w:p>
        </w:tc>
        <w:tc>
          <w:tcPr>
            <w:tcW w:w="845" w:type="dxa"/>
            <w:tcBorders>
              <w:top w:val="nil"/>
              <w:left w:val="nil"/>
              <w:bottom w:val="nil"/>
              <w:right w:val="nil"/>
            </w:tcBorders>
            <w:shd w:val="clear" w:color="auto" w:fill="auto"/>
            <w:noWrap/>
            <w:vAlign w:val="center"/>
            <w:hideMark/>
          </w:tcPr>
          <w:p w14:paraId="17ECB12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(0.17)</w:t>
            </w:r>
          </w:p>
        </w:tc>
      </w:tr>
      <w:tr w:rsidR="0089544F" w:rsidRPr="00263C50" w14:paraId="3E33679B" w14:textId="77777777" w:rsidTr="005668E0">
        <w:trPr>
          <w:trHeight w:val="20"/>
        </w:trPr>
        <w:tc>
          <w:tcPr>
            <w:tcW w:w="1008" w:type="dxa"/>
            <w:tcBorders>
              <w:top w:val="nil"/>
              <w:left w:val="nil"/>
              <w:bottom w:val="nil"/>
              <w:right w:val="nil"/>
            </w:tcBorders>
            <w:shd w:val="clear" w:color="auto" w:fill="auto"/>
            <w:noWrap/>
            <w:vAlign w:val="center"/>
            <w:hideMark/>
          </w:tcPr>
          <w:p w14:paraId="6284F288"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roofErr w:type="spellStart"/>
            <w:r w:rsidRPr="00263C50">
              <w:rPr>
                <w:rFonts w:ascii="Times New Roman" w:hAnsi="Times New Roman" w:cs="Times New Roman"/>
                <w:i/>
                <w:color w:val="000000"/>
                <w:sz w:val="15"/>
                <w:szCs w:val="15"/>
              </w:rPr>
              <w:t>IntroTax</w:t>
            </w:r>
            <w:proofErr w:type="spellEnd"/>
          </w:p>
        </w:tc>
        <w:tc>
          <w:tcPr>
            <w:tcW w:w="844" w:type="dxa"/>
            <w:tcBorders>
              <w:top w:val="nil"/>
              <w:left w:val="nil"/>
              <w:bottom w:val="nil"/>
              <w:right w:val="nil"/>
            </w:tcBorders>
            <w:shd w:val="clear" w:color="auto" w:fill="auto"/>
            <w:noWrap/>
            <w:vAlign w:val="center"/>
            <w:hideMark/>
          </w:tcPr>
          <w:p w14:paraId="21593B9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0.051</w:t>
            </w:r>
          </w:p>
        </w:tc>
        <w:tc>
          <w:tcPr>
            <w:tcW w:w="844" w:type="dxa"/>
            <w:tcBorders>
              <w:top w:val="nil"/>
              <w:left w:val="nil"/>
              <w:bottom w:val="nil"/>
              <w:right w:val="nil"/>
            </w:tcBorders>
            <w:shd w:val="clear" w:color="auto" w:fill="auto"/>
            <w:noWrap/>
            <w:vAlign w:val="center"/>
            <w:hideMark/>
          </w:tcPr>
          <w:p w14:paraId="774F4D0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0.088</w:t>
            </w:r>
          </w:p>
        </w:tc>
        <w:tc>
          <w:tcPr>
            <w:tcW w:w="845" w:type="dxa"/>
            <w:tcBorders>
              <w:top w:val="nil"/>
              <w:left w:val="nil"/>
              <w:bottom w:val="nil"/>
              <w:right w:val="nil"/>
            </w:tcBorders>
            <w:shd w:val="clear" w:color="auto" w:fill="auto"/>
            <w:noWrap/>
            <w:vAlign w:val="center"/>
            <w:hideMark/>
          </w:tcPr>
          <w:p w14:paraId="384A91C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-0.23**</w:t>
            </w:r>
          </w:p>
        </w:tc>
        <w:tc>
          <w:tcPr>
            <w:tcW w:w="844" w:type="dxa"/>
            <w:tcBorders>
              <w:top w:val="nil"/>
              <w:left w:val="nil"/>
              <w:bottom w:val="nil"/>
              <w:right w:val="nil"/>
            </w:tcBorders>
            <w:shd w:val="clear" w:color="auto" w:fill="auto"/>
            <w:noWrap/>
            <w:vAlign w:val="center"/>
            <w:hideMark/>
          </w:tcPr>
          <w:p w14:paraId="1FC68A5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-0.014</w:t>
            </w:r>
          </w:p>
        </w:tc>
        <w:tc>
          <w:tcPr>
            <w:tcW w:w="845" w:type="dxa"/>
            <w:tcBorders>
              <w:top w:val="nil"/>
              <w:left w:val="nil"/>
              <w:bottom w:val="nil"/>
              <w:right w:val="nil"/>
            </w:tcBorders>
            <w:shd w:val="clear" w:color="auto" w:fill="auto"/>
            <w:noWrap/>
            <w:vAlign w:val="center"/>
            <w:hideMark/>
          </w:tcPr>
          <w:p w14:paraId="1EB5A3F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0.42***</w:t>
            </w:r>
          </w:p>
        </w:tc>
        <w:tc>
          <w:tcPr>
            <w:tcW w:w="844" w:type="dxa"/>
            <w:tcBorders>
              <w:top w:val="nil"/>
              <w:left w:val="nil"/>
              <w:bottom w:val="nil"/>
              <w:right w:val="nil"/>
            </w:tcBorders>
            <w:shd w:val="clear" w:color="auto" w:fill="auto"/>
            <w:noWrap/>
            <w:vAlign w:val="center"/>
            <w:hideMark/>
          </w:tcPr>
          <w:p w14:paraId="3960005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0.14</w:t>
            </w:r>
          </w:p>
        </w:tc>
        <w:tc>
          <w:tcPr>
            <w:tcW w:w="864" w:type="dxa"/>
            <w:tcBorders>
              <w:top w:val="nil"/>
              <w:left w:val="nil"/>
              <w:bottom w:val="nil"/>
              <w:right w:val="nil"/>
            </w:tcBorders>
            <w:shd w:val="clear" w:color="auto" w:fill="auto"/>
            <w:noWrap/>
            <w:vAlign w:val="center"/>
            <w:hideMark/>
          </w:tcPr>
          <w:p w14:paraId="32F9D9A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0.075</w:t>
            </w:r>
          </w:p>
        </w:tc>
        <w:tc>
          <w:tcPr>
            <w:tcW w:w="844" w:type="dxa"/>
            <w:tcBorders>
              <w:top w:val="nil"/>
              <w:left w:val="nil"/>
              <w:bottom w:val="nil"/>
              <w:right w:val="nil"/>
            </w:tcBorders>
            <w:shd w:val="clear" w:color="auto" w:fill="auto"/>
            <w:noWrap/>
            <w:vAlign w:val="center"/>
            <w:hideMark/>
          </w:tcPr>
          <w:p w14:paraId="361ECF0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0.13</w:t>
            </w:r>
          </w:p>
        </w:tc>
        <w:tc>
          <w:tcPr>
            <w:tcW w:w="844" w:type="dxa"/>
            <w:tcBorders>
              <w:top w:val="nil"/>
              <w:left w:val="nil"/>
              <w:bottom w:val="nil"/>
              <w:right w:val="nil"/>
            </w:tcBorders>
            <w:shd w:val="clear" w:color="auto" w:fill="auto"/>
            <w:noWrap/>
            <w:vAlign w:val="center"/>
            <w:hideMark/>
          </w:tcPr>
          <w:p w14:paraId="56F91BB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0.21*</w:t>
            </w:r>
          </w:p>
        </w:tc>
        <w:tc>
          <w:tcPr>
            <w:tcW w:w="845" w:type="dxa"/>
            <w:tcBorders>
              <w:top w:val="nil"/>
              <w:left w:val="nil"/>
              <w:bottom w:val="nil"/>
              <w:right w:val="nil"/>
            </w:tcBorders>
            <w:shd w:val="clear" w:color="auto" w:fill="auto"/>
            <w:noWrap/>
            <w:vAlign w:val="center"/>
            <w:hideMark/>
          </w:tcPr>
          <w:p w14:paraId="2DA8B24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0.099</w:t>
            </w:r>
          </w:p>
        </w:tc>
        <w:tc>
          <w:tcPr>
            <w:tcW w:w="844" w:type="dxa"/>
            <w:tcBorders>
              <w:top w:val="nil"/>
              <w:left w:val="nil"/>
              <w:bottom w:val="nil"/>
              <w:right w:val="nil"/>
            </w:tcBorders>
            <w:shd w:val="clear" w:color="auto" w:fill="auto"/>
            <w:noWrap/>
            <w:vAlign w:val="center"/>
            <w:hideMark/>
          </w:tcPr>
          <w:p w14:paraId="3BCBA76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0.018</w:t>
            </w:r>
          </w:p>
        </w:tc>
        <w:tc>
          <w:tcPr>
            <w:tcW w:w="845" w:type="dxa"/>
            <w:tcBorders>
              <w:top w:val="nil"/>
              <w:left w:val="nil"/>
              <w:bottom w:val="nil"/>
              <w:right w:val="nil"/>
            </w:tcBorders>
            <w:shd w:val="clear" w:color="auto" w:fill="auto"/>
            <w:noWrap/>
            <w:vAlign w:val="center"/>
            <w:hideMark/>
          </w:tcPr>
          <w:p w14:paraId="0EE300C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0.21*</w:t>
            </w:r>
          </w:p>
        </w:tc>
        <w:tc>
          <w:tcPr>
            <w:tcW w:w="844" w:type="dxa"/>
            <w:tcBorders>
              <w:top w:val="nil"/>
              <w:left w:val="nil"/>
              <w:bottom w:val="nil"/>
              <w:right w:val="nil"/>
            </w:tcBorders>
            <w:shd w:val="clear" w:color="auto" w:fill="auto"/>
            <w:noWrap/>
            <w:vAlign w:val="center"/>
            <w:hideMark/>
          </w:tcPr>
          <w:p w14:paraId="35A28A2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-0.070</w:t>
            </w:r>
          </w:p>
        </w:tc>
        <w:tc>
          <w:tcPr>
            <w:tcW w:w="845" w:type="dxa"/>
            <w:tcBorders>
              <w:top w:val="nil"/>
              <w:left w:val="nil"/>
              <w:bottom w:val="nil"/>
              <w:right w:val="nil"/>
            </w:tcBorders>
            <w:shd w:val="clear" w:color="auto" w:fill="auto"/>
            <w:noWrap/>
            <w:vAlign w:val="center"/>
            <w:hideMark/>
          </w:tcPr>
          <w:p w14:paraId="379A86D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0.027</w:t>
            </w:r>
          </w:p>
        </w:tc>
      </w:tr>
      <w:tr w:rsidR="0089544F" w:rsidRPr="00263C50" w14:paraId="600DE4CB" w14:textId="77777777" w:rsidTr="005668E0">
        <w:trPr>
          <w:trHeight w:val="20"/>
        </w:trPr>
        <w:tc>
          <w:tcPr>
            <w:tcW w:w="1008" w:type="dxa"/>
            <w:tcBorders>
              <w:top w:val="nil"/>
              <w:left w:val="nil"/>
              <w:bottom w:val="nil"/>
              <w:right w:val="nil"/>
            </w:tcBorders>
            <w:shd w:val="clear" w:color="auto" w:fill="auto"/>
            <w:noWrap/>
            <w:vAlign w:val="center"/>
            <w:hideMark/>
          </w:tcPr>
          <w:p w14:paraId="551A710F"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
        </w:tc>
        <w:tc>
          <w:tcPr>
            <w:tcW w:w="844" w:type="dxa"/>
            <w:tcBorders>
              <w:top w:val="nil"/>
              <w:left w:val="nil"/>
              <w:bottom w:val="nil"/>
              <w:right w:val="nil"/>
            </w:tcBorders>
            <w:shd w:val="clear" w:color="auto" w:fill="auto"/>
            <w:noWrap/>
            <w:vAlign w:val="center"/>
            <w:hideMark/>
          </w:tcPr>
          <w:p w14:paraId="72703EC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(0.39)</w:t>
            </w:r>
          </w:p>
        </w:tc>
        <w:tc>
          <w:tcPr>
            <w:tcW w:w="844" w:type="dxa"/>
            <w:tcBorders>
              <w:top w:val="nil"/>
              <w:left w:val="nil"/>
              <w:bottom w:val="nil"/>
              <w:right w:val="nil"/>
            </w:tcBorders>
            <w:shd w:val="clear" w:color="auto" w:fill="auto"/>
            <w:noWrap/>
            <w:vAlign w:val="center"/>
            <w:hideMark/>
          </w:tcPr>
          <w:p w14:paraId="5725AC4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(0.92)</w:t>
            </w:r>
          </w:p>
        </w:tc>
        <w:tc>
          <w:tcPr>
            <w:tcW w:w="845" w:type="dxa"/>
            <w:tcBorders>
              <w:top w:val="nil"/>
              <w:left w:val="nil"/>
              <w:bottom w:val="nil"/>
              <w:right w:val="nil"/>
            </w:tcBorders>
            <w:shd w:val="clear" w:color="auto" w:fill="auto"/>
            <w:noWrap/>
            <w:vAlign w:val="center"/>
            <w:hideMark/>
          </w:tcPr>
          <w:p w14:paraId="5B4E814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(-2.09)</w:t>
            </w:r>
          </w:p>
        </w:tc>
        <w:tc>
          <w:tcPr>
            <w:tcW w:w="844" w:type="dxa"/>
            <w:tcBorders>
              <w:top w:val="nil"/>
              <w:left w:val="nil"/>
              <w:bottom w:val="nil"/>
              <w:right w:val="nil"/>
            </w:tcBorders>
            <w:shd w:val="clear" w:color="auto" w:fill="auto"/>
            <w:noWrap/>
            <w:vAlign w:val="center"/>
            <w:hideMark/>
          </w:tcPr>
          <w:p w14:paraId="6DC31D3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(-0.11)</w:t>
            </w:r>
          </w:p>
        </w:tc>
        <w:tc>
          <w:tcPr>
            <w:tcW w:w="845" w:type="dxa"/>
            <w:tcBorders>
              <w:top w:val="nil"/>
              <w:left w:val="nil"/>
              <w:bottom w:val="nil"/>
              <w:right w:val="nil"/>
            </w:tcBorders>
            <w:shd w:val="clear" w:color="auto" w:fill="auto"/>
            <w:noWrap/>
            <w:vAlign w:val="center"/>
            <w:hideMark/>
          </w:tcPr>
          <w:p w14:paraId="7144DAA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(3.49)</w:t>
            </w:r>
          </w:p>
        </w:tc>
        <w:tc>
          <w:tcPr>
            <w:tcW w:w="844" w:type="dxa"/>
            <w:tcBorders>
              <w:top w:val="nil"/>
              <w:left w:val="nil"/>
              <w:bottom w:val="nil"/>
              <w:right w:val="nil"/>
            </w:tcBorders>
            <w:shd w:val="clear" w:color="auto" w:fill="auto"/>
            <w:noWrap/>
            <w:vAlign w:val="center"/>
            <w:hideMark/>
          </w:tcPr>
          <w:p w14:paraId="7985863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(1.24)</w:t>
            </w:r>
          </w:p>
        </w:tc>
        <w:tc>
          <w:tcPr>
            <w:tcW w:w="864" w:type="dxa"/>
            <w:tcBorders>
              <w:top w:val="nil"/>
              <w:left w:val="nil"/>
              <w:bottom w:val="nil"/>
              <w:right w:val="nil"/>
            </w:tcBorders>
            <w:shd w:val="clear" w:color="auto" w:fill="auto"/>
            <w:noWrap/>
            <w:vAlign w:val="center"/>
            <w:hideMark/>
          </w:tcPr>
          <w:p w14:paraId="127A0F4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(0.72)</w:t>
            </w:r>
          </w:p>
        </w:tc>
        <w:tc>
          <w:tcPr>
            <w:tcW w:w="844" w:type="dxa"/>
            <w:tcBorders>
              <w:top w:val="nil"/>
              <w:left w:val="nil"/>
              <w:bottom w:val="nil"/>
              <w:right w:val="nil"/>
            </w:tcBorders>
            <w:shd w:val="clear" w:color="auto" w:fill="auto"/>
            <w:noWrap/>
            <w:vAlign w:val="center"/>
            <w:hideMark/>
          </w:tcPr>
          <w:p w14:paraId="6FA9961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(1.21)</w:t>
            </w:r>
          </w:p>
        </w:tc>
        <w:tc>
          <w:tcPr>
            <w:tcW w:w="844" w:type="dxa"/>
            <w:tcBorders>
              <w:top w:val="nil"/>
              <w:left w:val="nil"/>
              <w:bottom w:val="nil"/>
              <w:right w:val="nil"/>
            </w:tcBorders>
            <w:shd w:val="clear" w:color="auto" w:fill="auto"/>
            <w:noWrap/>
            <w:vAlign w:val="center"/>
            <w:hideMark/>
          </w:tcPr>
          <w:p w14:paraId="57EF2AF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(1.86)</w:t>
            </w:r>
          </w:p>
        </w:tc>
        <w:tc>
          <w:tcPr>
            <w:tcW w:w="845" w:type="dxa"/>
            <w:tcBorders>
              <w:top w:val="nil"/>
              <w:left w:val="nil"/>
              <w:bottom w:val="nil"/>
              <w:right w:val="nil"/>
            </w:tcBorders>
            <w:shd w:val="clear" w:color="auto" w:fill="auto"/>
            <w:noWrap/>
            <w:vAlign w:val="center"/>
            <w:hideMark/>
          </w:tcPr>
          <w:p w14:paraId="0D5064C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(0.81)</w:t>
            </w:r>
          </w:p>
        </w:tc>
        <w:tc>
          <w:tcPr>
            <w:tcW w:w="844" w:type="dxa"/>
            <w:tcBorders>
              <w:top w:val="nil"/>
              <w:left w:val="nil"/>
              <w:bottom w:val="nil"/>
              <w:right w:val="nil"/>
            </w:tcBorders>
            <w:shd w:val="clear" w:color="auto" w:fill="auto"/>
            <w:noWrap/>
            <w:vAlign w:val="center"/>
            <w:hideMark/>
          </w:tcPr>
          <w:p w14:paraId="6037FE3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(0.21)</w:t>
            </w:r>
          </w:p>
        </w:tc>
        <w:tc>
          <w:tcPr>
            <w:tcW w:w="845" w:type="dxa"/>
            <w:tcBorders>
              <w:top w:val="nil"/>
              <w:left w:val="nil"/>
              <w:bottom w:val="nil"/>
              <w:right w:val="nil"/>
            </w:tcBorders>
            <w:shd w:val="clear" w:color="auto" w:fill="auto"/>
            <w:noWrap/>
            <w:vAlign w:val="center"/>
            <w:hideMark/>
          </w:tcPr>
          <w:p w14:paraId="5F20537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(1.72)</w:t>
            </w:r>
          </w:p>
        </w:tc>
        <w:tc>
          <w:tcPr>
            <w:tcW w:w="844" w:type="dxa"/>
            <w:tcBorders>
              <w:top w:val="nil"/>
              <w:left w:val="nil"/>
              <w:bottom w:val="nil"/>
              <w:right w:val="nil"/>
            </w:tcBorders>
            <w:shd w:val="clear" w:color="auto" w:fill="auto"/>
            <w:noWrap/>
            <w:vAlign w:val="center"/>
            <w:hideMark/>
          </w:tcPr>
          <w:p w14:paraId="762F64C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(-0.66)</w:t>
            </w:r>
          </w:p>
        </w:tc>
        <w:tc>
          <w:tcPr>
            <w:tcW w:w="845" w:type="dxa"/>
            <w:tcBorders>
              <w:top w:val="nil"/>
              <w:left w:val="nil"/>
              <w:bottom w:val="nil"/>
              <w:right w:val="nil"/>
            </w:tcBorders>
            <w:shd w:val="clear" w:color="auto" w:fill="auto"/>
            <w:noWrap/>
            <w:vAlign w:val="center"/>
            <w:hideMark/>
          </w:tcPr>
          <w:p w14:paraId="133B2BD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(0.20)</w:t>
            </w:r>
          </w:p>
        </w:tc>
      </w:tr>
      <w:tr w:rsidR="0089544F" w:rsidRPr="00263C50" w14:paraId="768B41F2" w14:textId="77777777" w:rsidTr="005668E0">
        <w:trPr>
          <w:trHeight w:val="20"/>
        </w:trPr>
        <w:tc>
          <w:tcPr>
            <w:tcW w:w="1008" w:type="dxa"/>
            <w:tcBorders>
              <w:top w:val="nil"/>
              <w:left w:val="nil"/>
              <w:bottom w:val="nil"/>
              <w:right w:val="nil"/>
            </w:tcBorders>
            <w:shd w:val="clear" w:color="auto" w:fill="auto"/>
            <w:noWrap/>
            <w:vAlign w:val="center"/>
            <w:hideMark/>
          </w:tcPr>
          <w:p w14:paraId="100F2C18"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roofErr w:type="spellStart"/>
            <w:r w:rsidRPr="00263C50">
              <w:rPr>
                <w:rFonts w:ascii="Times New Roman" w:hAnsi="Times New Roman" w:cs="Times New Roman"/>
                <w:i/>
                <w:color w:val="000000"/>
                <w:sz w:val="15"/>
                <w:szCs w:val="15"/>
              </w:rPr>
              <w:t>UpperTax</w:t>
            </w:r>
            <w:proofErr w:type="spellEnd"/>
          </w:p>
        </w:tc>
        <w:tc>
          <w:tcPr>
            <w:tcW w:w="844" w:type="dxa"/>
            <w:tcBorders>
              <w:top w:val="nil"/>
              <w:left w:val="nil"/>
              <w:bottom w:val="nil"/>
              <w:right w:val="nil"/>
            </w:tcBorders>
            <w:shd w:val="clear" w:color="auto" w:fill="auto"/>
            <w:noWrap/>
            <w:vAlign w:val="center"/>
            <w:hideMark/>
          </w:tcPr>
          <w:p w14:paraId="311B613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0.30**</w:t>
            </w:r>
          </w:p>
        </w:tc>
        <w:tc>
          <w:tcPr>
            <w:tcW w:w="844" w:type="dxa"/>
            <w:tcBorders>
              <w:top w:val="nil"/>
              <w:left w:val="nil"/>
              <w:bottom w:val="nil"/>
              <w:right w:val="nil"/>
            </w:tcBorders>
            <w:shd w:val="clear" w:color="auto" w:fill="auto"/>
            <w:noWrap/>
            <w:vAlign w:val="center"/>
            <w:hideMark/>
          </w:tcPr>
          <w:p w14:paraId="026D8CA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0.18**</w:t>
            </w:r>
          </w:p>
        </w:tc>
        <w:tc>
          <w:tcPr>
            <w:tcW w:w="845" w:type="dxa"/>
            <w:tcBorders>
              <w:top w:val="nil"/>
              <w:left w:val="nil"/>
              <w:bottom w:val="nil"/>
              <w:right w:val="nil"/>
            </w:tcBorders>
            <w:shd w:val="clear" w:color="auto" w:fill="auto"/>
            <w:noWrap/>
            <w:vAlign w:val="center"/>
            <w:hideMark/>
          </w:tcPr>
          <w:p w14:paraId="3FB94D9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-0.0054</w:t>
            </w:r>
          </w:p>
        </w:tc>
        <w:tc>
          <w:tcPr>
            <w:tcW w:w="844" w:type="dxa"/>
            <w:tcBorders>
              <w:top w:val="nil"/>
              <w:left w:val="nil"/>
              <w:bottom w:val="nil"/>
              <w:right w:val="nil"/>
            </w:tcBorders>
            <w:shd w:val="clear" w:color="auto" w:fill="auto"/>
            <w:noWrap/>
            <w:vAlign w:val="center"/>
            <w:hideMark/>
          </w:tcPr>
          <w:p w14:paraId="42E3584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0.15</w:t>
            </w:r>
          </w:p>
        </w:tc>
        <w:tc>
          <w:tcPr>
            <w:tcW w:w="845" w:type="dxa"/>
            <w:tcBorders>
              <w:top w:val="nil"/>
              <w:left w:val="nil"/>
              <w:bottom w:val="nil"/>
              <w:right w:val="nil"/>
            </w:tcBorders>
            <w:shd w:val="clear" w:color="auto" w:fill="auto"/>
            <w:noWrap/>
            <w:vAlign w:val="center"/>
            <w:hideMark/>
          </w:tcPr>
          <w:p w14:paraId="26BF71C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0.42***</w:t>
            </w:r>
          </w:p>
        </w:tc>
        <w:tc>
          <w:tcPr>
            <w:tcW w:w="844" w:type="dxa"/>
            <w:tcBorders>
              <w:top w:val="nil"/>
              <w:left w:val="nil"/>
              <w:bottom w:val="nil"/>
              <w:right w:val="nil"/>
            </w:tcBorders>
            <w:shd w:val="clear" w:color="auto" w:fill="auto"/>
            <w:noWrap/>
            <w:vAlign w:val="center"/>
            <w:hideMark/>
          </w:tcPr>
          <w:p w14:paraId="197C465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-0.22*</w:t>
            </w:r>
          </w:p>
        </w:tc>
        <w:tc>
          <w:tcPr>
            <w:tcW w:w="864" w:type="dxa"/>
            <w:tcBorders>
              <w:top w:val="nil"/>
              <w:left w:val="nil"/>
              <w:bottom w:val="nil"/>
              <w:right w:val="nil"/>
            </w:tcBorders>
            <w:shd w:val="clear" w:color="auto" w:fill="auto"/>
            <w:noWrap/>
            <w:vAlign w:val="center"/>
            <w:hideMark/>
          </w:tcPr>
          <w:p w14:paraId="4FA3652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0.19**</w:t>
            </w:r>
          </w:p>
        </w:tc>
        <w:tc>
          <w:tcPr>
            <w:tcW w:w="844" w:type="dxa"/>
            <w:tcBorders>
              <w:top w:val="nil"/>
              <w:left w:val="nil"/>
              <w:bottom w:val="nil"/>
              <w:right w:val="nil"/>
            </w:tcBorders>
            <w:shd w:val="clear" w:color="auto" w:fill="auto"/>
            <w:noWrap/>
            <w:vAlign w:val="center"/>
            <w:hideMark/>
          </w:tcPr>
          <w:p w14:paraId="4A6C521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0.11</w:t>
            </w:r>
          </w:p>
        </w:tc>
        <w:tc>
          <w:tcPr>
            <w:tcW w:w="844" w:type="dxa"/>
            <w:tcBorders>
              <w:top w:val="nil"/>
              <w:left w:val="nil"/>
              <w:bottom w:val="nil"/>
              <w:right w:val="nil"/>
            </w:tcBorders>
            <w:shd w:val="clear" w:color="auto" w:fill="auto"/>
            <w:noWrap/>
            <w:vAlign w:val="center"/>
            <w:hideMark/>
          </w:tcPr>
          <w:p w14:paraId="389572A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0.38***</w:t>
            </w:r>
          </w:p>
        </w:tc>
        <w:tc>
          <w:tcPr>
            <w:tcW w:w="845" w:type="dxa"/>
            <w:tcBorders>
              <w:top w:val="nil"/>
              <w:left w:val="nil"/>
              <w:bottom w:val="nil"/>
              <w:right w:val="nil"/>
            </w:tcBorders>
            <w:shd w:val="clear" w:color="auto" w:fill="auto"/>
            <w:noWrap/>
            <w:vAlign w:val="center"/>
            <w:hideMark/>
          </w:tcPr>
          <w:p w14:paraId="585B482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0.36***</w:t>
            </w:r>
          </w:p>
        </w:tc>
        <w:tc>
          <w:tcPr>
            <w:tcW w:w="844" w:type="dxa"/>
            <w:tcBorders>
              <w:top w:val="nil"/>
              <w:left w:val="nil"/>
              <w:bottom w:val="nil"/>
              <w:right w:val="nil"/>
            </w:tcBorders>
            <w:shd w:val="clear" w:color="auto" w:fill="auto"/>
            <w:noWrap/>
            <w:vAlign w:val="center"/>
            <w:hideMark/>
          </w:tcPr>
          <w:p w14:paraId="40EBECD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0.092</w:t>
            </w:r>
          </w:p>
        </w:tc>
        <w:tc>
          <w:tcPr>
            <w:tcW w:w="845" w:type="dxa"/>
            <w:tcBorders>
              <w:top w:val="nil"/>
              <w:left w:val="nil"/>
              <w:bottom w:val="nil"/>
              <w:right w:val="nil"/>
            </w:tcBorders>
            <w:shd w:val="clear" w:color="auto" w:fill="auto"/>
            <w:noWrap/>
            <w:vAlign w:val="center"/>
            <w:hideMark/>
          </w:tcPr>
          <w:p w14:paraId="35E8CFF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0.33**</w:t>
            </w:r>
          </w:p>
        </w:tc>
        <w:tc>
          <w:tcPr>
            <w:tcW w:w="844" w:type="dxa"/>
            <w:tcBorders>
              <w:top w:val="nil"/>
              <w:left w:val="nil"/>
              <w:bottom w:val="nil"/>
              <w:right w:val="nil"/>
            </w:tcBorders>
            <w:shd w:val="clear" w:color="auto" w:fill="auto"/>
            <w:noWrap/>
            <w:vAlign w:val="center"/>
            <w:hideMark/>
          </w:tcPr>
          <w:p w14:paraId="3F7E050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-0.12</w:t>
            </w:r>
          </w:p>
        </w:tc>
        <w:tc>
          <w:tcPr>
            <w:tcW w:w="845" w:type="dxa"/>
            <w:tcBorders>
              <w:top w:val="nil"/>
              <w:left w:val="nil"/>
              <w:bottom w:val="nil"/>
              <w:right w:val="nil"/>
            </w:tcBorders>
            <w:shd w:val="clear" w:color="auto" w:fill="auto"/>
            <w:noWrap/>
            <w:vAlign w:val="center"/>
            <w:hideMark/>
          </w:tcPr>
          <w:p w14:paraId="6092B08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0.0073</w:t>
            </w:r>
          </w:p>
        </w:tc>
      </w:tr>
      <w:tr w:rsidR="0089544F" w:rsidRPr="00263C50" w14:paraId="2521A1A9" w14:textId="77777777" w:rsidTr="005668E0">
        <w:trPr>
          <w:trHeight w:val="20"/>
        </w:trPr>
        <w:tc>
          <w:tcPr>
            <w:tcW w:w="1008" w:type="dxa"/>
            <w:tcBorders>
              <w:top w:val="nil"/>
              <w:left w:val="nil"/>
              <w:bottom w:val="nil"/>
              <w:right w:val="nil"/>
            </w:tcBorders>
            <w:shd w:val="clear" w:color="auto" w:fill="auto"/>
            <w:noWrap/>
            <w:vAlign w:val="center"/>
            <w:hideMark/>
          </w:tcPr>
          <w:p w14:paraId="576DDA5F"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
        </w:tc>
        <w:tc>
          <w:tcPr>
            <w:tcW w:w="844" w:type="dxa"/>
            <w:tcBorders>
              <w:top w:val="nil"/>
              <w:left w:val="nil"/>
              <w:bottom w:val="nil"/>
              <w:right w:val="nil"/>
            </w:tcBorders>
            <w:shd w:val="clear" w:color="auto" w:fill="auto"/>
            <w:noWrap/>
            <w:vAlign w:val="center"/>
            <w:hideMark/>
          </w:tcPr>
          <w:p w14:paraId="2C5F594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(2.00)</w:t>
            </w:r>
          </w:p>
        </w:tc>
        <w:tc>
          <w:tcPr>
            <w:tcW w:w="844" w:type="dxa"/>
            <w:tcBorders>
              <w:top w:val="nil"/>
              <w:left w:val="nil"/>
              <w:bottom w:val="nil"/>
              <w:right w:val="nil"/>
            </w:tcBorders>
            <w:shd w:val="clear" w:color="auto" w:fill="auto"/>
            <w:noWrap/>
            <w:vAlign w:val="center"/>
            <w:hideMark/>
          </w:tcPr>
          <w:p w14:paraId="60F1192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(2.03)</w:t>
            </w:r>
          </w:p>
        </w:tc>
        <w:tc>
          <w:tcPr>
            <w:tcW w:w="845" w:type="dxa"/>
            <w:tcBorders>
              <w:top w:val="nil"/>
              <w:left w:val="nil"/>
              <w:bottom w:val="nil"/>
              <w:right w:val="nil"/>
            </w:tcBorders>
            <w:shd w:val="clear" w:color="auto" w:fill="auto"/>
            <w:noWrap/>
            <w:vAlign w:val="center"/>
            <w:hideMark/>
          </w:tcPr>
          <w:p w14:paraId="1C5E48D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(-0.029)</w:t>
            </w:r>
          </w:p>
        </w:tc>
        <w:tc>
          <w:tcPr>
            <w:tcW w:w="844" w:type="dxa"/>
            <w:tcBorders>
              <w:top w:val="nil"/>
              <w:left w:val="nil"/>
              <w:bottom w:val="nil"/>
              <w:right w:val="nil"/>
            </w:tcBorders>
            <w:shd w:val="clear" w:color="auto" w:fill="auto"/>
            <w:noWrap/>
            <w:vAlign w:val="center"/>
            <w:hideMark/>
          </w:tcPr>
          <w:p w14:paraId="681CC32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(0.92)</w:t>
            </w:r>
          </w:p>
        </w:tc>
        <w:tc>
          <w:tcPr>
            <w:tcW w:w="845" w:type="dxa"/>
            <w:tcBorders>
              <w:top w:val="nil"/>
              <w:left w:val="nil"/>
              <w:bottom w:val="nil"/>
              <w:right w:val="nil"/>
            </w:tcBorders>
            <w:shd w:val="clear" w:color="auto" w:fill="auto"/>
            <w:noWrap/>
            <w:vAlign w:val="center"/>
            <w:hideMark/>
          </w:tcPr>
          <w:p w14:paraId="3278B79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(2.60)</w:t>
            </w:r>
          </w:p>
        </w:tc>
        <w:tc>
          <w:tcPr>
            <w:tcW w:w="844" w:type="dxa"/>
            <w:tcBorders>
              <w:top w:val="nil"/>
              <w:left w:val="nil"/>
              <w:bottom w:val="nil"/>
              <w:right w:val="nil"/>
            </w:tcBorders>
            <w:shd w:val="clear" w:color="auto" w:fill="auto"/>
            <w:noWrap/>
            <w:vAlign w:val="center"/>
            <w:hideMark/>
          </w:tcPr>
          <w:p w14:paraId="5C27192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(-1.70)</w:t>
            </w:r>
          </w:p>
        </w:tc>
        <w:tc>
          <w:tcPr>
            <w:tcW w:w="864" w:type="dxa"/>
            <w:tcBorders>
              <w:top w:val="nil"/>
              <w:left w:val="nil"/>
              <w:bottom w:val="nil"/>
              <w:right w:val="nil"/>
            </w:tcBorders>
            <w:shd w:val="clear" w:color="auto" w:fill="auto"/>
            <w:noWrap/>
            <w:vAlign w:val="center"/>
            <w:hideMark/>
          </w:tcPr>
          <w:p w14:paraId="62FDDBF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(2.17)</w:t>
            </w:r>
          </w:p>
        </w:tc>
        <w:tc>
          <w:tcPr>
            <w:tcW w:w="844" w:type="dxa"/>
            <w:tcBorders>
              <w:top w:val="nil"/>
              <w:left w:val="nil"/>
              <w:bottom w:val="nil"/>
              <w:right w:val="nil"/>
            </w:tcBorders>
            <w:shd w:val="clear" w:color="auto" w:fill="auto"/>
            <w:noWrap/>
            <w:vAlign w:val="center"/>
            <w:hideMark/>
          </w:tcPr>
          <w:p w14:paraId="3FEB8B6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(0.63)</w:t>
            </w:r>
          </w:p>
        </w:tc>
        <w:tc>
          <w:tcPr>
            <w:tcW w:w="844" w:type="dxa"/>
            <w:tcBorders>
              <w:top w:val="nil"/>
              <w:left w:val="nil"/>
              <w:bottom w:val="nil"/>
              <w:right w:val="nil"/>
            </w:tcBorders>
            <w:shd w:val="clear" w:color="auto" w:fill="auto"/>
            <w:noWrap/>
            <w:vAlign w:val="center"/>
            <w:hideMark/>
          </w:tcPr>
          <w:p w14:paraId="4A50135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(3.40)</w:t>
            </w:r>
          </w:p>
        </w:tc>
        <w:tc>
          <w:tcPr>
            <w:tcW w:w="845" w:type="dxa"/>
            <w:tcBorders>
              <w:top w:val="nil"/>
              <w:left w:val="nil"/>
              <w:bottom w:val="nil"/>
              <w:right w:val="nil"/>
            </w:tcBorders>
            <w:shd w:val="clear" w:color="auto" w:fill="auto"/>
            <w:noWrap/>
            <w:vAlign w:val="center"/>
            <w:hideMark/>
          </w:tcPr>
          <w:p w14:paraId="7D029C0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(2.72)</w:t>
            </w:r>
          </w:p>
        </w:tc>
        <w:tc>
          <w:tcPr>
            <w:tcW w:w="844" w:type="dxa"/>
            <w:tcBorders>
              <w:top w:val="nil"/>
              <w:left w:val="nil"/>
              <w:bottom w:val="nil"/>
              <w:right w:val="nil"/>
            </w:tcBorders>
            <w:shd w:val="clear" w:color="auto" w:fill="auto"/>
            <w:noWrap/>
            <w:vAlign w:val="center"/>
            <w:hideMark/>
          </w:tcPr>
          <w:p w14:paraId="6829F92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(0.60)</w:t>
            </w:r>
          </w:p>
        </w:tc>
        <w:tc>
          <w:tcPr>
            <w:tcW w:w="845" w:type="dxa"/>
            <w:tcBorders>
              <w:top w:val="nil"/>
              <w:left w:val="nil"/>
              <w:bottom w:val="nil"/>
              <w:right w:val="nil"/>
            </w:tcBorders>
            <w:shd w:val="clear" w:color="auto" w:fill="auto"/>
            <w:noWrap/>
            <w:vAlign w:val="center"/>
            <w:hideMark/>
          </w:tcPr>
          <w:p w14:paraId="2D47A02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(2.12)</w:t>
            </w:r>
          </w:p>
        </w:tc>
        <w:tc>
          <w:tcPr>
            <w:tcW w:w="844" w:type="dxa"/>
            <w:tcBorders>
              <w:top w:val="nil"/>
              <w:left w:val="nil"/>
              <w:bottom w:val="nil"/>
              <w:right w:val="nil"/>
            </w:tcBorders>
            <w:shd w:val="clear" w:color="auto" w:fill="auto"/>
            <w:noWrap/>
            <w:vAlign w:val="center"/>
            <w:hideMark/>
          </w:tcPr>
          <w:p w14:paraId="2FD7323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(-0.87)</w:t>
            </w:r>
          </w:p>
        </w:tc>
        <w:tc>
          <w:tcPr>
            <w:tcW w:w="845" w:type="dxa"/>
            <w:tcBorders>
              <w:top w:val="nil"/>
              <w:left w:val="nil"/>
              <w:bottom w:val="nil"/>
              <w:right w:val="nil"/>
            </w:tcBorders>
            <w:shd w:val="clear" w:color="auto" w:fill="auto"/>
            <w:noWrap/>
            <w:vAlign w:val="center"/>
            <w:hideMark/>
          </w:tcPr>
          <w:p w14:paraId="6DAD1C3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(0.038)</w:t>
            </w:r>
          </w:p>
        </w:tc>
      </w:tr>
      <w:tr w:rsidR="0089544F" w:rsidRPr="00263C50" w14:paraId="528B8265" w14:textId="77777777" w:rsidTr="005668E0">
        <w:trPr>
          <w:trHeight w:val="20"/>
        </w:trPr>
        <w:tc>
          <w:tcPr>
            <w:tcW w:w="1008" w:type="dxa"/>
            <w:tcBorders>
              <w:top w:val="nil"/>
              <w:left w:val="nil"/>
              <w:bottom w:val="nil"/>
              <w:right w:val="nil"/>
            </w:tcBorders>
            <w:shd w:val="clear" w:color="auto" w:fill="auto"/>
            <w:noWrap/>
            <w:vAlign w:val="center"/>
            <w:hideMark/>
          </w:tcPr>
          <w:p w14:paraId="1643A524"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roofErr w:type="spellStart"/>
            <w:r w:rsidRPr="00263C50">
              <w:rPr>
                <w:rFonts w:ascii="Times New Roman" w:hAnsi="Times New Roman" w:cs="Times New Roman"/>
                <w:i/>
                <w:color w:val="000000"/>
                <w:sz w:val="15"/>
                <w:szCs w:val="15"/>
              </w:rPr>
              <w:t>FinLit</w:t>
            </w:r>
            <w:proofErr w:type="spellEnd"/>
          </w:p>
        </w:tc>
        <w:tc>
          <w:tcPr>
            <w:tcW w:w="844" w:type="dxa"/>
            <w:tcBorders>
              <w:top w:val="nil"/>
              <w:left w:val="nil"/>
              <w:bottom w:val="nil"/>
              <w:right w:val="nil"/>
            </w:tcBorders>
            <w:shd w:val="clear" w:color="auto" w:fill="auto"/>
            <w:noWrap/>
            <w:vAlign w:val="center"/>
            <w:hideMark/>
          </w:tcPr>
          <w:p w14:paraId="3C231A4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0.22</w:t>
            </w:r>
          </w:p>
        </w:tc>
        <w:tc>
          <w:tcPr>
            <w:tcW w:w="844" w:type="dxa"/>
            <w:tcBorders>
              <w:top w:val="nil"/>
              <w:left w:val="nil"/>
              <w:bottom w:val="nil"/>
              <w:right w:val="nil"/>
            </w:tcBorders>
            <w:shd w:val="clear" w:color="auto" w:fill="auto"/>
            <w:noWrap/>
            <w:vAlign w:val="center"/>
            <w:hideMark/>
          </w:tcPr>
          <w:p w14:paraId="29B3616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0.56***</w:t>
            </w:r>
          </w:p>
        </w:tc>
        <w:tc>
          <w:tcPr>
            <w:tcW w:w="845" w:type="dxa"/>
            <w:tcBorders>
              <w:top w:val="nil"/>
              <w:left w:val="nil"/>
              <w:bottom w:val="nil"/>
              <w:right w:val="nil"/>
            </w:tcBorders>
            <w:shd w:val="clear" w:color="auto" w:fill="auto"/>
            <w:noWrap/>
            <w:vAlign w:val="center"/>
            <w:hideMark/>
          </w:tcPr>
          <w:p w14:paraId="61AD20F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0.21</w:t>
            </w:r>
          </w:p>
        </w:tc>
        <w:tc>
          <w:tcPr>
            <w:tcW w:w="844" w:type="dxa"/>
            <w:tcBorders>
              <w:top w:val="nil"/>
              <w:left w:val="nil"/>
              <w:bottom w:val="nil"/>
              <w:right w:val="nil"/>
            </w:tcBorders>
            <w:shd w:val="clear" w:color="auto" w:fill="auto"/>
            <w:noWrap/>
            <w:vAlign w:val="center"/>
            <w:hideMark/>
          </w:tcPr>
          <w:p w14:paraId="49D7389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0.45***</w:t>
            </w:r>
          </w:p>
        </w:tc>
        <w:tc>
          <w:tcPr>
            <w:tcW w:w="845" w:type="dxa"/>
            <w:tcBorders>
              <w:top w:val="nil"/>
              <w:left w:val="nil"/>
              <w:bottom w:val="nil"/>
              <w:right w:val="nil"/>
            </w:tcBorders>
            <w:shd w:val="clear" w:color="auto" w:fill="auto"/>
            <w:noWrap/>
            <w:vAlign w:val="center"/>
            <w:hideMark/>
          </w:tcPr>
          <w:p w14:paraId="60A2D8E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0.14</w:t>
            </w:r>
          </w:p>
        </w:tc>
        <w:tc>
          <w:tcPr>
            <w:tcW w:w="844" w:type="dxa"/>
            <w:tcBorders>
              <w:top w:val="nil"/>
              <w:left w:val="nil"/>
              <w:bottom w:val="nil"/>
              <w:right w:val="nil"/>
            </w:tcBorders>
            <w:shd w:val="clear" w:color="auto" w:fill="auto"/>
            <w:noWrap/>
            <w:vAlign w:val="center"/>
            <w:hideMark/>
          </w:tcPr>
          <w:p w14:paraId="62685D9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0.41***</w:t>
            </w:r>
          </w:p>
        </w:tc>
        <w:tc>
          <w:tcPr>
            <w:tcW w:w="864" w:type="dxa"/>
            <w:tcBorders>
              <w:top w:val="nil"/>
              <w:left w:val="nil"/>
              <w:bottom w:val="nil"/>
              <w:right w:val="nil"/>
            </w:tcBorders>
            <w:shd w:val="clear" w:color="auto" w:fill="auto"/>
            <w:noWrap/>
            <w:vAlign w:val="center"/>
            <w:hideMark/>
          </w:tcPr>
          <w:p w14:paraId="58DBB98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0.37***</w:t>
            </w:r>
          </w:p>
        </w:tc>
        <w:tc>
          <w:tcPr>
            <w:tcW w:w="844" w:type="dxa"/>
            <w:tcBorders>
              <w:top w:val="nil"/>
              <w:left w:val="nil"/>
              <w:bottom w:val="nil"/>
              <w:right w:val="nil"/>
            </w:tcBorders>
            <w:shd w:val="clear" w:color="auto" w:fill="auto"/>
            <w:noWrap/>
            <w:vAlign w:val="center"/>
            <w:hideMark/>
          </w:tcPr>
          <w:p w14:paraId="006A69E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0.59***</w:t>
            </w:r>
          </w:p>
        </w:tc>
        <w:tc>
          <w:tcPr>
            <w:tcW w:w="844" w:type="dxa"/>
            <w:tcBorders>
              <w:top w:val="nil"/>
              <w:left w:val="nil"/>
              <w:bottom w:val="nil"/>
              <w:right w:val="nil"/>
            </w:tcBorders>
            <w:shd w:val="clear" w:color="auto" w:fill="auto"/>
            <w:noWrap/>
            <w:vAlign w:val="center"/>
            <w:hideMark/>
          </w:tcPr>
          <w:p w14:paraId="0D6DC3A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0.55***</w:t>
            </w:r>
          </w:p>
        </w:tc>
        <w:tc>
          <w:tcPr>
            <w:tcW w:w="845" w:type="dxa"/>
            <w:tcBorders>
              <w:top w:val="nil"/>
              <w:left w:val="nil"/>
              <w:bottom w:val="nil"/>
              <w:right w:val="nil"/>
            </w:tcBorders>
            <w:shd w:val="clear" w:color="auto" w:fill="auto"/>
            <w:noWrap/>
            <w:vAlign w:val="center"/>
            <w:hideMark/>
          </w:tcPr>
          <w:p w14:paraId="46F76D0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0.59***</w:t>
            </w:r>
          </w:p>
        </w:tc>
        <w:tc>
          <w:tcPr>
            <w:tcW w:w="844" w:type="dxa"/>
            <w:tcBorders>
              <w:top w:val="nil"/>
              <w:left w:val="nil"/>
              <w:bottom w:val="nil"/>
              <w:right w:val="nil"/>
            </w:tcBorders>
            <w:shd w:val="clear" w:color="auto" w:fill="auto"/>
            <w:noWrap/>
            <w:vAlign w:val="center"/>
            <w:hideMark/>
          </w:tcPr>
          <w:p w14:paraId="1D1E93F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0.25**</w:t>
            </w:r>
          </w:p>
        </w:tc>
        <w:tc>
          <w:tcPr>
            <w:tcW w:w="845" w:type="dxa"/>
            <w:tcBorders>
              <w:top w:val="nil"/>
              <w:left w:val="nil"/>
              <w:bottom w:val="nil"/>
              <w:right w:val="nil"/>
            </w:tcBorders>
            <w:shd w:val="clear" w:color="auto" w:fill="auto"/>
            <w:noWrap/>
            <w:vAlign w:val="center"/>
            <w:hideMark/>
          </w:tcPr>
          <w:p w14:paraId="391EB0B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0.48***</w:t>
            </w:r>
          </w:p>
        </w:tc>
        <w:tc>
          <w:tcPr>
            <w:tcW w:w="844" w:type="dxa"/>
            <w:tcBorders>
              <w:top w:val="nil"/>
              <w:left w:val="nil"/>
              <w:bottom w:val="nil"/>
              <w:right w:val="nil"/>
            </w:tcBorders>
            <w:shd w:val="clear" w:color="auto" w:fill="auto"/>
            <w:noWrap/>
            <w:vAlign w:val="center"/>
            <w:hideMark/>
          </w:tcPr>
          <w:p w14:paraId="696F05D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0.32**</w:t>
            </w:r>
          </w:p>
        </w:tc>
        <w:tc>
          <w:tcPr>
            <w:tcW w:w="845" w:type="dxa"/>
            <w:tcBorders>
              <w:top w:val="nil"/>
              <w:left w:val="nil"/>
              <w:bottom w:val="nil"/>
              <w:right w:val="nil"/>
            </w:tcBorders>
            <w:shd w:val="clear" w:color="auto" w:fill="auto"/>
            <w:noWrap/>
            <w:vAlign w:val="center"/>
            <w:hideMark/>
          </w:tcPr>
          <w:p w14:paraId="6341133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0.46***</w:t>
            </w:r>
          </w:p>
        </w:tc>
      </w:tr>
      <w:tr w:rsidR="0089544F" w:rsidRPr="00263C50" w14:paraId="60F1017E" w14:textId="77777777" w:rsidTr="005668E0">
        <w:trPr>
          <w:trHeight w:val="20"/>
        </w:trPr>
        <w:tc>
          <w:tcPr>
            <w:tcW w:w="1008" w:type="dxa"/>
            <w:tcBorders>
              <w:top w:val="nil"/>
              <w:left w:val="nil"/>
              <w:bottom w:val="nil"/>
              <w:right w:val="nil"/>
            </w:tcBorders>
            <w:shd w:val="clear" w:color="auto" w:fill="auto"/>
            <w:noWrap/>
            <w:vAlign w:val="center"/>
            <w:hideMark/>
          </w:tcPr>
          <w:p w14:paraId="4D162CDD"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
        </w:tc>
        <w:tc>
          <w:tcPr>
            <w:tcW w:w="844" w:type="dxa"/>
            <w:tcBorders>
              <w:top w:val="nil"/>
              <w:left w:val="nil"/>
              <w:bottom w:val="nil"/>
              <w:right w:val="nil"/>
            </w:tcBorders>
            <w:shd w:val="clear" w:color="auto" w:fill="auto"/>
            <w:noWrap/>
            <w:vAlign w:val="center"/>
            <w:hideMark/>
          </w:tcPr>
          <w:p w14:paraId="66C401C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(1.46)</w:t>
            </w:r>
          </w:p>
        </w:tc>
        <w:tc>
          <w:tcPr>
            <w:tcW w:w="844" w:type="dxa"/>
            <w:tcBorders>
              <w:top w:val="nil"/>
              <w:left w:val="nil"/>
              <w:bottom w:val="nil"/>
              <w:right w:val="nil"/>
            </w:tcBorders>
            <w:shd w:val="clear" w:color="auto" w:fill="auto"/>
            <w:noWrap/>
            <w:vAlign w:val="center"/>
            <w:hideMark/>
          </w:tcPr>
          <w:p w14:paraId="088469C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(4.21)</w:t>
            </w:r>
          </w:p>
        </w:tc>
        <w:tc>
          <w:tcPr>
            <w:tcW w:w="845" w:type="dxa"/>
            <w:tcBorders>
              <w:top w:val="nil"/>
              <w:left w:val="nil"/>
              <w:bottom w:val="nil"/>
              <w:right w:val="nil"/>
            </w:tcBorders>
            <w:shd w:val="clear" w:color="auto" w:fill="auto"/>
            <w:noWrap/>
            <w:vAlign w:val="center"/>
            <w:hideMark/>
          </w:tcPr>
          <w:p w14:paraId="5ADA221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(1.60)</w:t>
            </w:r>
          </w:p>
        </w:tc>
        <w:tc>
          <w:tcPr>
            <w:tcW w:w="844" w:type="dxa"/>
            <w:tcBorders>
              <w:top w:val="nil"/>
              <w:left w:val="nil"/>
              <w:bottom w:val="nil"/>
              <w:right w:val="nil"/>
            </w:tcBorders>
            <w:shd w:val="clear" w:color="auto" w:fill="auto"/>
            <w:noWrap/>
            <w:vAlign w:val="center"/>
            <w:hideMark/>
          </w:tcPr>
          <w:p w14:paraId="7D5B052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(3.45)</w:t>
            </w:r>
          </w:p>
        </w:tc>
        <w:tc>
          <w:tcPr>
            <w:tcW w:w="845" w:type="dxa"/>
            <w:tcBorders>
              <w:top w:val="nil"/>
              <w:left w:val="nil"/>
              <w:bottom w:val="nil"/>
              <w:right w:val="nil"/>
            </w:tcBorders>
            <w:shd w:val="clear" w:color="auto" w:fill="auto"/>
            <w:noWrap/>
            <w:vAlign w:val="center"/>
            <w:hideMark/>
          </w:tcPr>
          <w:p w14:paraId="27E099F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(1.04)</w:t>
            </w:r>
          </w:p>
        </w:tc>
        <w:tc>
          <w:tcPr>
            <w:tcW w:w="844" w:type="dxa"/>
            <w:tcBorders>
              <w:top w:val="nil"/>
              <w:left w:val="nil"/>
              <w:bottom w:val="nil"/>
              <w:right w:val="nil"/>
            </w:tcBorders>
            <w:shd w:val="clear" w:color="auto" w:fill="auto"/>
            <w:noWrap/>
            <w:vAlign w:val="center"/>
            <w:hideMark/>
          </w:tcPr>
          <w:p w14:paraId="6E8007A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(3.82)</w:t>
            </w:r>
          </w:p>
        </w:tc>
        <w:tc>
          <w:tcPr>
            <w:tcW w:w="864" w:type="dxa"/>
            <w:tcBorders>
              <w:top w:val="nil"/>
              <w:left w:val="nil"/>
              <w:bottom w:val="nil"/>
              <w:right w:val="nil"/>
            </w:tcBorders>
            <w:shd w:val="clear" w:color="auto" w:fill="auto"/>
            <w:noWrap/>
            <w:vAlign w:val="center"/>
            <w:hideMark/>
          </w:tcPr>
          <w:p w14:paraId="40B35B5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(3.04)</w:t>
            </w:r>
          </w:p>
        </w:tc>
        <w:tc>
          <w:tcPr>
            <w:tcW w:w="844" w:type="dxa"/>
            <w:tcBorders>
              <w:top w:val="nil"/>
              <w:left w:val="nil"/>
              <w:bottom w:val="nil"/>
              <w:right w:val="nil"/>
            </w:tcBorders>
            <w:shd w:val="clear" w:color="auto" w:fill="auto"/>
            <w:noWrap/>
            <w:vAlign w:val="center"/>
            <w:hideMark/>
          </w:tcPr>
          <w:p w14:paraId="3BC46DE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(4.34)</w:t>
            </w:r>
          </w:p>
        </w:tc>
        <w:tc>
          <w:tcPr>
            <w:tcW w:w="844" w:type="dxa"/>
            <w:tcBorders>
              <w:top w:val="nil"/>
              <w:left w:val="nil"/>
              <w:bottom w:val="nil"/>
              <w:right w:val="nil"/>
            </w:tcBorders>
            <w:shd w:val="clear" w:color="auto" w:fill="auto"/>
            <w:noWrap/>
            <w:vAlign w:val="center"/>
            <w:hideMark/>
          </w:tcPr>
          <w:p w14:paraId="79B9FBF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(3.96)</w:t>
            </w:r>
          </w:p>
        </w:tc>
        <w:tc>
          <w:tcPr>
            <w:tcW w:w="845" w:type="dxa"/>
            <w:tcBorders>
              <w:top w:val="nil"/>
              <w:left w:val="nil"/>
              <w:bottom w:val="nil"/>
              <w:right w:val="nil"/>
            </w:tcBorders>
            <w:shd w:val="clear" w:color="auto" w:fill="auto"/>
            <w:noWrap/>
            <w:vAlign w:val="center"/>
            <w:hideMark/>
          </w:tcPr>
          <w:p w14:paraId="6F03BE3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(4.55)</w:t>
            </w:r>
          </w:p>
        </w:tc>
        <w:tc>
          <w:tcPr>
            <w:tcW w:w="844" w:type="dxa"/>
            <w:tcBorders>
              <w:top w:val="nil"/>
              <w:left w:val="nil"/>
              <w:bottom w:val="nil"/>
              <w:right w:val="nil"/>
            </w:tcBorders>
            <w:shd w:val="clear" w:color="auto" w:fill="auto"/>
            <w:noWrap/>
            <w:vAlign w:val="center"/>
            <w:hideMark/>
          </w:tcPr>
          <w:p w14:paraId="7DA4560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(2.47)</w:t>
            </w:r>
          </w:p>
        </w:tc>
        <w:tc>
          <w:tcPr>
            <w:tcW w:w="845" w:type="dxa"/>
            <w:tcBorders>
              <w:top w:val="nil"/>
              <w:left w:val="nil"/>
              <w:bottom w:val="nil"/>
              <w:right w:val="nil"/>
            </w:tcBorders>
            <w:shd w:val="clear" w:color="auto" w:fill="auto"/>
            <w:noWrap/>
            <w:vAlign w:val="center"/>
            <w:hideMark/>
          </w:tcPr>
          <w:p w14:paraId="24866BD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(3.57)</w:t>
            </w:r>
          </w:p>
        </w:tc>
        <w:tc>
          <w:tcPr>
            <w:tcW w:w="844" w:type="dxa"/>
            <w:tcBorders>
              <w:top w:val="nil"/>
              <w:left w:val="nil"/>
              <w:bottom w:val="nil"/>
              <w:right w:val="nil"/>
            </w:tcBorders>
            <w:shd w:val="clear" w:color="auto" w:fill="auto"/>
            <w:noWrap/>
            <w:vAlign w:val="center"/>
            <w:hideMark/>
          </w:tcPr>
          <w:p w14:paraId="53E3203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(2.38)</w:t>
            </w:r>
          </w:p>
        </w:tc>
        <w:tc>
          <w:tcPr>
            <w:tcW w:w="845" w:type="dxa"/>
            <w:tcBorders>
              <w:top w:val="nil"/>
              <w:left w:val="nil"/>
              <w:bottom w:val="nil"/>
              <w:right w:val="nil"/>
            </w:tcBorders>
            <w:shd w:val="clear" w:color="auto" w:fill="auto"/>
            <w:noWrap/>
            <w:vAlign w:val="center"/>
            <w:hideMark/>
          </w:tcPr>
          <w:p w14:paraId="4B56EDE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(3.19)</w:t>
            </w:r>
          </w:p>
        </w:tc>
      </w:tr>
      <w:tr w:rsidR="0089544F" w:rsidRPr="00263C50" w14:paraId="3705B3F4" w14:textId="77777777" w:rsidTr="005668E0">
        <w:trPr>
          <w:trHeight w:val="20"/>
        </w:trPr>
        <w:tc>
          <w:tcPr>
            <w:tcW w:w="1008" w:type="dxa"/>
            <w:tcBorders>
              <w:top w:val="nil"/>
              <w:left w:val="nil"/>
              <w:bottom w:val="nil"/>
              <w:right w:val="nil"/>
            </w:tcBorders>
            <w:shd w:val="clear" w:color="auto" w:fill="auto"/>
            <w:noWrap/>
            <w:vAlign w:val="center"/>
            <w:hideMark/>
          </w:tcPr>
          <w:p w14:paraId="18D32B6C"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r w:rsidRPr="00263C50">
              <w:rPr>
                <w:rFonts w:ascii="Times New Roman" w:hAnsi="Times New Roman" w:cs="Times New Roman"/>
                <w:i/>
                <w:color w:val="000000"/>
                <w:sz w:val="15"/>
                <w:szCs w:val="15"/>
              </w:rPr>
              <w:t>Gender</w:t>
            </w:r>
          </w:p>
        </w:tc>
        <w:tc>
          <w:tcPr>
            <w:tcW w:w="844" w:type="dxa"/>
            <w:tcBorders>
              <w:top w:val="nil"/>
              <w:left w:val="nil"/>
              <w:bottom w:val="nil"/>
              <w:right w:val="nil"/>
            </w:tcBorders>
            <w:shd w:val="clear" w:color="auto" w:fill="auto"/>
            <w:noWrap/>
            <w:vAlign w:val="center"/>
            <w:hideMark/>
          </w:tcPr>
          <w:p w14:paraId="7835903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-0.019</w:t>
            </w:r>
          </w:p>
        </w:tc>
        <w:tc>
          <w:tcPr>
            <w:tcW w:w="844" w:type="dxa"/>
            <w:tcBorders>
              <w:top w:val="nil"/>
              <w:left w:val="nil"/>
              <w:bottom w:val="nil"/>
              <w:right w:val="nil"/>
            </w:tcBorders>
            <w:shd w:val="clear" w:color="auto" w:fill="auto"/>
            <w:noWrap/>
            <w:vAlign w:val="center"/>
            <w:hideMark/>
          </w:tcPr>
          <w:p w14:paraId="39EB9BB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-0.066</w:t>
            </w:r>
          </w:p>
        </w:tc>
        <w:tc>
          <w:tcPr>
            <w:tcW w:w="845" w:type="dxa"/>
            <w:tcBorders>
              <w:top w:val="nil"/>
              <w:left w:val="nil"/>
              <w:bottom w:val="nil"/>
              <w:right w:val="nil"/>
            </w:tcBorders>
            <w:shd w:val="clear" w:color="auto" w:fill="auto"/>
            <w:noWrap/>
            <w:vAlign w:val="center"/>
            <w:hideMark/>
          </w:tcPr>
          <w:p w14:paraId="1EC1019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-0.11</w:t>
            </w:r>
          </w:p>
        </w:tc>
        <w:tc>
          <w:tcPr>
            <w:tcW w:w="844" w:type="dxa"/>
            <w:tcBorders>
              <w:top w:val="nil"/>
              <w:left w:val="nil"/>
              <w:bottom w:val="nil"/>
              <w:right w:val="nil"/>
            </w:tcBorders>
            <w:shd w:val="clear" w:color="auto" w:fill="auto"/>
            <w:noWrap/>
            <w:vAlign w:val="center"/>
            <w:hideMark/>
          </w:tcPr>
          <w:p w14:paraId="6D65BB7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-0.040</w:t>
            </w:r>
          </w:p>
        </w:tc>
        <w:tc>
          <w:tcPr>
            <w:tcW w:w="845" w:type="dxa"/>
            <w:tcBorders>
              <w:top w:val="nil"/>
              <w:left w:val="nil"/>
              <w:bottom w:val="nil"/>
              <w:right w:val="nil"/>
            </w:tcBorders>
            <w:shd w:val="clear" w:color="auto" w:fill="auto"/>
            <w:noWrap/>
            <w:vAlign w:val="center"/>
            <w:hideMark/>
          </w:tcPr>
          <w:p w14:paraId="72D6A3D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0.072</w:t>
            </w:r>
          </w:p>
        </w:tc>
        <w:tc>
          <w:tcPr>
            <w:tcW w:w="844" w:type="dxa"/>
            <w:tcBorders>
              <w:top w:val="nil"/>
              <w:left w:val="nil"/>
              <w:bottom w:val="nil"/>
              <w:right w:val="nil"/>
            </w:tcBorders>
            <w:shd w:val="clear" w:color="auto" w:fill="auto"/>
            <w:noWrap/>
            <w:vAlign w:val="center"/>
            <w:hideMark/>
          </w:tcPr>
          <w:p w14:paraId="2F59666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0.088</w:t>
            </w:r>
          </w:p>
        </w:tc>
        <w:tc>
          <w:tcPr>
            <w:tcW w:w="864" w:type="dxa"/>
            <w:tcBorders>
              <w:top w:val="nil"/>
              <w:left w:val="nil"/>
              <w:bottom w:val="nil"/>
              <w:right w:val="nil"/>
            </w:tcBorders>
            <w:shd w:val="clear" w:color="auto" w:fill="auto"/>
            <w:noWrap/>
            <w:vAlign w:val="center"/>
            <w:hideMark/>
          </w:tcPr>
          <w:p w14:paraId="13BB10E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-0.11*</w:t>
            </w:r>
          </w:p>
        </w:tc>
        <w:tc>
          <w:tcPr>
            <w:tcW w:w="844" w:type="dxa"/>
            <w:tcBorders>
              <w:top w:val="nil"/>
              <w:left w:val="nil"/>
              <w:bottom w:val="nil"/>
              <w:right w:val="nil"/>
            </w:tcBorders>
            <w:shd w:val="clear" w:color="auto" w:fill="auto"/>
            <w:noWrap/>
            <w:vAlign w:val="center"/>
            <w:hideMark/>
          </w:tcPr>
          <w:p w14:paraId="0A85502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0.041</w:t>
            </w:r>
          </w:p>
        </w:tc>
        <w:tc>
          <w:tcPr>
            <w:tcW w:w="844" w:type="dxa"/>
            <w:tcBorders>
              <w:top w:val="nil"/>
              <w:left w:val="nil"/>
              <w:bottom w:val="nil"/>
              <w:right w:val="nil"/>
            </w:tcBorders>
            <w:shd w:val="clear" w:color="auto" w:fill="auto"/>
            <w:noWrap/>
            <w:vAlign w:val="center"/>
            <w:hideMark/>
          </w:tcPr>
          <w:p w14:paraId="3761C6C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0.00067</w:t>
            </w:r>
          </w:p>
        </w:tc>
        <w:tc>
          <w:tcPr>
            <w:tcW w:w="845" w:type="dxa"/>
            <w:tcBorders>
              <w:top w:val="nil"/>
              <w:left w:val="nil"/>
              <w:bottom w:val="nil"/>
              <w:right w:val="nil"/>
            </w:tcBorders>
            <w:shd w:val="clear" w:color="auto" w:fill="auto"/>
            <w:noWrap/>
            <w:vAlign w:val="center"/>
            <w:hideMark/>
          </w:tcPr>
          <w:p w14:paraId="3D12D65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0.042</w:t>
            </w:r>
          </w:p>
        </w:tc>
        <w:tc>
          <w:tcPr>
            <w:tcW w:w="844" w:type="dxa"/>
            <w:tcBorders>
              <w:top w:val="nil"/>
              <w:left w:val="nil"/>
              <w:bottom w:val="nil"/>
              <w:right w:val="nil"/>
            </w:tcBorders>
            <w:shd w:val="clear" w:color="auto" w:fill="auto"/>
            <w:noWrap/>
            <w:vAlign w:val="center"/>
            <w:hideMark/>
          </w:tcPr>
          <w:p w14:paraId="16B5CDF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0.0078</w:t>
            </w:r>
          </w:p>
        </w:tc>
        <w:tc>
          <w:tcPr>
            <w:tcW w:w="845" w:type="dxa"/>
            <w:tcBorders>
              <w:top w:val="nil"/>
              <w:left w:val="nil"/>
              <w:bottom w:val="nil"/>
              <w:right w:val="nil"/>
            </w:tcBorders>
            <w:shd w:val="clear" w:color="auto" w:fill="auto"/>
            <w:noWrap/>
            <w:vAlign w:val="center"/>
            <w:hideMark/>
          </w:tcPr>
          <w:p w14:paraId="57AAD74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0.016</w:t>
            </w:r>
          </w:p>
        </w:tc>
        <w:tc>
          <w:tcPr>
            <w:tcW w:w="844" w:type="dxa"/>
            <w:tcBorders>
              <w:top w:val="nil"/>
              <w:left w:val="nil"/>
              <w:bottom w:val="nil"/>
              <w:right w:val="nil"/>
            </w:tcBorders>
            <w:shd w:val="clear" w:color="auto" w:fill="auto"/>
            <w:noWrap/>
            <w:vAlign w:val="center"/>
            <w:hideMark/>
          </w:tcPr>
          <w:p w14:paraId="50112C6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-0.064</w:t>
            </w:r>
          </w:p>
        </w:tc>
        <w:tc>
          <w:tcPr>
            <w:tcW w:w="845" w:type="dxa"/>
            <w:tcBorders>
              <w:top w:val="nil"/>
              <w:left w:val="nil"/>
              <w:bottom w:val="nil"/>
              <w:right w:val="nil"/>
            </w:tcBorders>
            <w:shd w:val="clear" w:color="auto" w:fill="auto"/>
            <w:noWrap/>
            <w:vAlign w:val="center"/>
            <w:hideMark/>
          </w:tcPr>
          <w:p w14:paraId="3DE28B4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0.017</w:t>
            </w:r>
          </w:p>
        </w:tc>
      </w:tr>
      <w:tr w:rsidR="0089544F" w:rsidRPr="00263C50" w14:paraId="132D52CD" w14:textId="77777777" w:rsidTr="005668E0">
        <w:trPr>
          <w:trHeight w:val="20"/>
        </w:trPr>
        <w:tc>
          <w:tcPr>
            <w:tcW w:w="1008" w:type="dxa"/>
            <w:tcBorders>
              <w:top w:val="nil"/>
              <w:left w:val="nil"/>
              <w:bottom w:val="nil"/>
              <w:right w:val="nil"/>
            </w:tcBorders>
            <w:shd w:val="clear" w:color="auto" w:fill="auto"/>
            <w:noWrap/>
            <w:vAlign w:val="center"/>
            <w:hideMark/>
          </w:tcPr>
          <w:p w14:paraId="70D561F8"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
        </w:tc>
        <w:tc>
          <w:tcPr>
            <w:tcW w:w="844" w:type="dxa"/>
            <w:tcBorders>
              <w:top w:val="nil"/>
              <w:left w:val="nil"/>
              <w:bottom w:val="nil"/>
              <w:right w:val="nil"/>
            </w:tcBorders>
            <w:shd w:val="clear" w:color="auto" w:fill="auto"/>
            <w:noWrap/>
            <w:vAlign w:val="center"/>
            <w:hideMark/>
          </w:tcPr>
          <w:p w14:paraId="451C482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(-0.24)</w:t>
            </w:r>
          </w:p>
        </w:tc>
        <w:tc>
          <w:tcPr>
            <w:tcW w:w="844" w:type="dxa"/>
            <w:tcBorders>
              <w:top w:val="nil"/>
              <w:left w:val="nil"/>
              <w:bottom w:val="nil"/>
              <w:right w:val="nil"/>
            </w:tcBorders>
            <w:shd w:val="clear" w:color="auto" w:fill="auto"/>
            <w:noWrap/>
            <w:vAlign w:val="center"/>
            <w:hideMark/>
          </w:tcPr>
          <w:p w14:paraId="6907D62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(-1.04)</w:t>
            </w:r>
          </w:p>
        </w:tc>
        <w:tc>
          <w:tcPr>
            <w:tcW w:w="845" w:type="dxa"/>
            <w:tcBorders>
              <w:top w:val="nil"/>
              <w:left w:val="nil"/>
              <w:bottom w:val="nil"/>
              <w:right w:val="nil"/>
            </w:tcBorders>
            <w:shd w:val="clear" w:color="auto" w:fill="auto"/>
            <w:noWrap/>
            <w:vAlign w:val="center"/>
            <w:hideMark/>
          </w:tcPr>
          <w:p w14:paraId="6CAF90E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(-1.38)</w:t>
            </w:r>
          </w:p>
        </w:tc>
        <w:tc>
          <w:tcPr>
            <w:tcW w:w="844" w:type="dxa"/>
            <w:tcBorders>
              <w:top w:val="nil"/>
              <w:left w:val="nil"/>
              <w:bottom w:val="nil"/>
              <w:right w:val="nil"/>
            </w:tcBorders>
            <w:shd w:val="clear" w:color="auto" w:fill="auto"/>
            <w:noWrap/>
            <w:vAlign w:val="center"/>
            <w:hideMark/>
          </w:tcPr>
          <w:p w14:paraId="2656B5A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(-0.56)</w:t>
            </w:r>
          </w:p>
        </w:tc>
        <w:tc>
          <w:tcPr>
            <w:tcW w:w="845" w:type="dxa"/>
            <w:tcBorders>
              <w:top w:val="nil"/>
              <w:left w:val="nil"/>
              <w:bottom w:val="nil"/>
              <w:right w:val="nil"/>
            </w:tcBorders>
            <w:shd w:val="clear" w:color="auto" w:fill="auto"/>
            <w:noWrap/>
            <w:vAlign w:val="center"/>
            <w:hideMark/>
          </w:tcPr>
          <w:p w14:paraId="67828E8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(1.03)</w:t>
            </w:r>
          </w:p>
        </w:tc>
        <w:tc>
          <w:tcPr>
            <w:tcW w:w="844" w:type="dxa"/>
            <w:tcBorders>
              <w:top w:val="nil"/>
              <w:left w:val="nil"/>
              <w:bottom w:val="nil"/>
              <w:right w:val="nil"/>
            </w:tcBorders>
            <w:shd w:val="clear" w:color="auto" w:fill="auto"/>
            <w:noWrap/>
            <w:vAlign w:val="center"/>
            <w:hideMark/>
          </w:tcPr>
          <w:p w14:paraId="16A2648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(1.35)</w:t>
            </w:r>
          </w:p>
        </w:tc>
        <w:tc>
          <w:tcPr>
            <w:tcW w:w="864" w:type="dxa"/>
            <w:tcBorders>
              <w:top w:val="nil"/>
              <w:left w:val="nil"/>
              <w:bottom w:val="nil"/>
              <w:right w:val="nil"/>
            </w:tcBorders>
            <w:shd w:val="clear" w:color="auto" w:fill="auto"/>
            <w:noWrap/>
            <w:vAlign w:val="center"/>
            <w:hideMark/>
          </w:tcPr>
          <w:p w14:paraId="6EF74B3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(-1.75)</w:t>
            </w:r>
          </w:p>
        </w:tc>
        <w:tc>
          <w:tcPr>
            <w:tcW w:w="844" w:type="dxa"/>
            <w:tcBorders>
              <w:top w:val="nil"/>
              <w:left w:val="nil"/>
              <w:bottom w:val="nil"/>
              <w:right w:val="nil"/>
            </w:tcBorders>
            <w:shd w:val="clear" w:color="auto" w:fill="auto"/>
            <w:noWrap/>
            <w:vAlign w:val="center"/>
            <w:hideMark/>
          </w:tcPr>
          <w:p w14:paraId="200D2AF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(0.51)</w:t>
            </w:r>
          </w:p>
        </w:tc>
        <w:tc>
          <w:tcPr>
            <w:tcW w:w="844" w:type="dxa"/>
            <w:tcBorders>
              <w:top w:val="nil"/>
              <w:left w:val="nil"/>
              <w:bottom w:val="nil"/>
              <w:right w:val="nil"/>
            </w:tcBorders>
            <w:shd w:val="clear" w:color="auto" w:fill="auto"/>
            <w:noWrap/>
            <w:vAlign w:val="center"/>
            <w:hideMark/>
          </w:tcPr>
          <w:p w14:paraId="3436F3C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(0.0091)</w:t>
            </w:r>
          </w:p>
        </w:tc>
        <w:tc>
          <w:tcPr>
            <w:tcW w:w="845" w:type="dxa"/>
            <w:tcBorders>
              <w:top w:val="nil"/>
              <w:left w:val="nil"/>
              <w:bottom w:val="nil"/>
              <w:right w:val="nil"/>
            </w:tcBorders>
            <w:shd w:val="clear" w:color="auto" w:fill="auto"/>
            <w:noWrap/>
            <w:vAlign w:val="center"/>
            <w:hideMark/>
          </w:tcPr>
          <w:p w14:paraId="3B32877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(0.56)</w:t>
            </w:r>
          </w:p>
        </w:tc>
        <w:tc>
          <w:tcPr>
            <w:tcW w:w="844" w:type="dxa"/>
            <w:tcBorders>
              <w:top w:val="nil"/>
              <w:left w:val="nil"/>
              <w:bottom w:val="nil"/>
              <w:right w:val="nil"/>
            </w:tcBorders>
            <w:shd w:val="clear" w:color="auto" w:fill="auto"/>
            <w:noWrap/>
            <w:vAlign w:val="center"/>
            <w:hideMark/>
          </w:tcPr>
          <w:p w14:paraId="1C838AD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(0.13)</w:t>
            </w:r>
          </w:p>
        </w:tc>
        <w:tc>
          <w:tcPr>
            <w:tcW w:w="845" w:type="dxa"/>
            <w:tcBorders>
              <w:top w:val="nil"/>
              <w:left w:val="nil"/>
              <w:bottom w:val="nil"/>
              <w:right w:val="nil"/>
            </w:tcBorders>
            <w:shd w:val="clear" w:color="auto" w:fill="auto"/>
            <w:noWrap/>
            <w:vAlign w:val="center"/>
            <w:hideMark/>
          </w:tcPr>
          <w:p w14:paraId="7D7327A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(0.21)</w:t>
            </w:r>
          </w:p>
        </w:tc>
        <w:tc>
          <w:tcPr>
            <w:tcW w:w="844" w:type="dxa"/>
            <w:tcBorders>
              <w:top w:val="nil"/>
              <w:left w:val="nil"/>
              <w:bottom w:val="nil"/>
              <w:right w:val="nil"/>
            </w:tcBorders>
            <w:shd w:val="clear" w:color="auto" w:fill="auto"/>
            <w:noWrap/>
            <w:vAlign w:val="center"/>
            <w:hideMark/>
          </w:tcPr>
          <w:p w14:paraId="45C657E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(-0.95)</w:t>
            </w:r>
          </w:p>
        </w:tc>
        <w:tc>
          <w:tcPr>
            <w:tcW w:w="845" w:type="dxa"/>
            <w:tcBorders>
              <w:top w:val="nil"/>
              <w:left w:val="nil"/>
              <w:bottom w:val="nil"/>
              <w:right w:val="nil"/>
            </w:tcBorders>
            <w:shd w:val="clear" w:color="auto" w:fill="auto"/>
            <w:noWrap/>
            <w:vAlign w:val="center"/>
            <w:hideMark/>
          </w:tcPr>
          <w:p w14:paraId="65268E4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(0.23)</w:t>
            </w:r>
          </w:p>
        </w:tc>
      </w:tr>
      <w:tr w:rsidR="0089544F" w:rsidRPr="00263C50" w14:paraId="27F03728" w14:textId="77777777" w:rsidTr="005668E0">
        <w:trPr>
          <w:trHeight w:val="20"/>
        </w:trPr>
        <w:tc>
          <w:tcPr>
            <w:tcW w:w="1008" w:type="dxa"/>
            <w:tcBorders>
              <w:top w:val="nil"/>
              <w:left w:val="nil"/>
              <w:bottom w:val="nil"/>
              <w:right w:val="nil"/>
            </w:tcBorders>
            <w:shd w:val="clear" w:color="auto" w:fill="auto"/>
            <w:noWrap/>
            <w:vAlign w:val="center"/>
            <w:hideMark/>
          </w:tcPr>
          <w:p w14:paraId="4CCE3280"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r w:rsidRPr="00263C50">
              <w:rPr>
                <w:rFonts w:ascii="Times New Roman" w:hAnsi="Times New Roman" w:cs="Times New Roman"/>
                <w:i/>
                <w:color w:val="000000"/>
                <w:sz w:val="15"/>
                <w:szCs w:val="15"/>
              </w:rPr>
              <w:t>Age</w:t>
            </w:r>
          </w:p>
        </w:tc>
        <w:tc>
          <w:tcPr>
            <w:tcW w:w="844" w:type="dxa"/>
            <w:tcBorders>
              <w:top w:val="nil"/>
              <w:left w:val="nil"/>
              <w:bottom w:val="nil"/>
              <w:right w:val="nil"/>
            </w:tcBorders>
            <w:shd w:val="clear" w:color="auto" w:fill="auto"/>
            <w:noWrap/>
            <w:vAlign w:val="center"/>
            <w:hideMark/>
          </w:tcPr>
          <w:p w14:paraId="1D7442E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0.080</w:t>
            </w:r>
          </w:p>
        </w:tc>
        <w:tc>
          <w:tcPr>
            <w:tcW w:w="844" w:type="dxa"/>
            <w:tcBorders>
              <w:top w:val="nil"/>
              <w:left w:val="nil"/>
              <w:bottom w:val="nil"/>
              <w:right w:val="nil"/>
            </w:tcBorders>
            <w:shd w:val="clear" w:color="auto" w:fill="auto"/>
            <w:noWrap/>
            <w:vAlign w:val="center"/>
            <w:hideMark/>
          </w:tcPr>
          <w:p w14:paraId="103748B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0.062</w:t>
            </w:r>
          </w:p>
        </w:tc>
        <w:tc>
          <w:tcPr>
            <w:tcW w:w="845" w:type="dxa"/>
            <w:tcBorders>
              <w:top w:val="nil"/>
              <w:left w:val="nil"/>
              <w:bottom w:val="nil"/>
              <w:right w:val="nil"/>
            </w:tcBorders>
            <w:shd w:val="clear" w:color="auto" w:fill="auto"/>
            <w:noWrap/>
            <w:vAlign w:val="center"/>
            <w:hideMark/>
          </w:tcPr>
          <w:p w14:paraId="33ECB80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0.075</w:t>
            </w:r>
          </w:p>
        </w:tc>
        <w:tc>
          <w:tcPr>
            <w:tcW w:w="844" w:type="dxa"/>
            <w:tcBorders>
              <w:top w:val="nil"/>
              <w:left w:val="nil"/>
              <w:bottom w:val="nil"/>
              <w:right w:val="nil"/>
            </w:tcBorders>
            <w:shd w:val="clear" w:color="auto" w:fill="auto"/>
            <w:noWrap/>
            <w:vAlign w:val="center"/>
            <w:hideMark/>
          </w:tcPr>
          <w:p w14:paraId="1B5C6C1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0.19***</w:t>
            </w:r>
          </w:p>
        </w:tc>
        <w:tc>
          <w:tcPr>
            <w:tcW w:w="845" w:type="dxa"/>
            <w:tcBorders>
              <w:top w:val="nil"/>
              <w:left w:val="nil"/>
              <w:bottom w:val="nil"/>
              <w:right w:val="nil"/>
            </w:tcBorders>
            <w:shd w:val="clear" w:color="auto" w:fill="auto"/>
            <w:noWrap/>
            <w:vAlign w:val="center"/>
            <w:hideMark/>
          </w:tcPr>
          <w:p w14:paraId="43AC554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0.021</w:t>
            </w:r>
          </w:p>
        </w:tc>
        <w:tc>
          <w:tcPr>
            <w:tcW w:w="844" w:type="dxa"/>
            <w:tcBorders>
              <w:top w:val="nil"/>
              <w:left w:val="nil"/>
              <w:bottom w:val="nil"/>
              <w:right w:val="nil"/>
            </w:tcBorders>
            <w:shd w:val="clear" w:color="auto" w:fill="auto"/>
            <w:noWrap/>
            <w:vAlign w:val="center"/>
            <w:hideMark/>
          </w:tcPr>
          <w:p w14:paraId="455035D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0.12*</w:t>
            </w:r>
          </w:p>
        </w:tc>
        <w:tc>
          <w:tcPr>
            <w:tcW w:w="864" w:type="dxa"/>
            <w:tcBorders>
              <w:top w:val="nil"/>
              <w:left w:val="nil"/>
              <w:bottom w:val="nil"/>
              <w:right w:val="nil"/>
            </w:tcBorders>
            <w:shd w:val="clear" w:color="auto" w:fill="auto"/>
            <w:noWrap/>
            <w:vAlign w:val="center"/>
            <w:hideMark/>
          </w:tcPr>
          <w:p w14:paraId="312F84E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-0.049</w:t>
            </w:r>
          </w:p>
        </w:tc>
        <w:tc>
          <w:tcPr>
            <w:tcW w:w="844" w:type="dxa"/>
            <w:tcBorders>
              <w:top w:val="nil"/>
              <w:left w:val="nil"/>
              <w:bottom w:val="nil"/>
              <w:right w:val="nil"/>
            </w:tcBorders>
            <w:shd w:val="clear" w:color="auto" w:fill="auto"/>
            <w:noWrap/>
            <w:vAlign w:val="center"/>
            <w:hideMark/>
          </w:tcPr>
          <w:p w14:paraId="07096F8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0.0045</w:t>
            </w:r>
          </w:p>
        </w:tc>
        <w:tc>
          <w:tcPr>
            <w:tcW w:w="844" w:type="dxa"/>
            <w:tcBorders>
              <w:top w:val="nil"/>
              <w:left w:val="nil"/>
              <w:bottom w:val="nil"/>
              <w:right w:val="nil"/>
            </w:tcBorders>
            <w:shd w:val="clear" w:color="auto" w:fill="auto"/>
            <w:noWrap/>
            <w:vAlign w:val="center"/>
            <w:hideMark/>
          </w:tcPr>
          <w:p w14:paraId="1009367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-0.047</w:t>
            </w:r>
          </w:p>
        </w:tc>
        <w:tc>
          <w:tcPr>
            <w:tcW w:w="845" w:type="dxa"/>
            <w:tcBorders>
              <w:top w:val="nil"/>
              <w:left w:val="nil"/>
              <w:bottom w:val="nil"/>
              <w:right w:val="nil"/>
            </w:tcBorders>
            <w:shd w:val="clear" w:color="auto" w:fill="auto"/>
            <w:noWrap/>
            <w:vAlign w:val="center"/>
            <w:hideMark/>
          </w:tcPr>
          <w:p w14:paraId="4C7B163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0.11*</w:t>
            </w:r>
          </w:p>
        </w:tc>
        <w:tc>
          <w:tcPr>
            <w:tcW w:w="844" w:type="dxa"/>
            <w:tcBorders>
              <w:top w:val="nil"/>
              <w:left w:val="nil"/>
              <w:bottom w:val="nil"/>
              <w:right w:val="nil"/>
            </w:tcBorders>
            <w:shd w:val="clear" w:color="auto" w:fill="auto"/>
            <w:noWrap/>
            <w:vAlign w:val="center"/>
            <w:hideMark/>
          </w:tcPr>
          <w:p w14:paraId="29105BE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-0.029</w:t>
            </w:r>
          </w:p>
        </w:tc>
        <w:tc>
          <w:tcPr>
            <w:tcW w:w="845" w:type="dxa"/>
            <w:tcBorders>
              <w:top w:val="nil"/>
              <w:left w:val="nil"/>
              <w:bottom w:val="nil"/>
              <w:right w:val="nil"/>
            </w:tcBorders>
            <w:shd w:val="clear" w:color="auto" w:fill="auto"/>
            <w:noWrap/>
            <w:vAlign w:val="center"/>
            <w:hideMark/>
          </w:tcPr>
          <w:p w14:paraId="73A1920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-0.085</w:t>
            </w:r>
          </w:p>
        </w:tc>
        <w:tc>
          <w:tcPr>
            <w:tcW w:w="844" w:type="dxa"/>
            <w:tcBorders>
              <w:top w:val="nil"/>
              <w:left w:val="nil"/>
              <w:bottom w:val="nil"/>
              <w:right w:val="nil"/>
            </w:tcBorders>
            <w:shd w:val="clear" w:color="auto" w:fill="auto"/>
            <w:noWrap/>
            <w:vAlign w:val="center"/>
            <w:hideMark/>
          </w:tcPr>
          <w:p w14:paraId="186C788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0.031</w:t>
            </w:r>
          </w:p>
        </w:tc>
        <w:tc>
          <w:tcPr>
            <w:tcW w:w="845" w:type="dxa"/>
            <w:tcBorders>
              <w:top w:val="nil"/>
              <w:left w:val="nil"/>
              <w:bottom w:val="nil"/>
              <w:right w:val="nil"/>
            </w:tcBorders>
            <w:shd w:val="clear" w:color="auto" w:fill="auto"/>
            <w:noWrap/>
            <w:vAlign w:val="center"/>
            <w:hideMark/>
          </w:tcPr>
          <w:p w14:paraId="1458A64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0.069</w:t>
            </w:r>
          </w:p>
        </w:tc>
      </w:tr>
      <w:tr w:rsidR="0089544F" w:rsidRPr="00263C50" w14:paraId="25F89D72" w14:textId="77777777" w:rsidTr="005668E0">
        <w:trPr>
          <w:trHeight w:val="20"/>
        </w:trPr>
        <w:tc>
          <w:tcPr>
            <w:tcW w:w="1008" w:type="dxa"/>
            <w:tcBorders>
              <w:top w:val="nil"/>
              <w:left w:val="nil"/>
              <w:bottom w:val="nil"/>
              <w:right w:val="nil"/>
            </w:tcBorders>
            <w:shd w:val="clear" w:color="auto" w:fill="auto"/>
            <w:noWrap/>
            <w:vAlign w:val="center"/>
            <w:hideMark/>
          </w:tcPr>
          <w:p w14:paraId="4580BDF1"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
        </w:tc>
        <w:tc>
          <w:tcPr>
            <w:tcW w:w="844" w:type="dxa"/>
            <w:tcBorders>
              <w:top w:val="nil"/>
              <w:left w:val="nil"/>
              <w:bottom w:val="nil"/>
              <w:right w:val="nil"/>
            </w:tcBorders>
            <w:shd w:val="clear" w:color="auto" w:fill="auto"/>
            <w:noWrap/>
            <w:vAlign w:val="center"/>
            <w:hideMark/>
          </w:tcPr>
          <w:p w14:paraId="77039A2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(1.22)</w:t>
            </w:r>
          </w:p>
        </w:tc>
        <w:tc>
          <w:tcPr>
            <w:tcW w:w="844" w:type="dxa"/>
            <w:tcBorders>
              <w:top w:val="nil"/>
              <w:left w:val="nil"/>
              <w:bottom w:val="nil"/>
              <w:right w:val="nil"/>
            </w:tcBorders>
            <w:shd w:val="clear" w:color="auto" w:fill="auto"/>
            <w:noWrap/>
            <w:vAlign w:val="center"/>
            <w:hideMark/>
          </w:tcPr>
          <w:p w14:paraId="603E58B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(1.18)</w:t>
            </w:r>
          </w:p>
        </w:tc>
        <w:tc>
          <w:tcPr>
            <w:tcW w:w="845" w:type="dxa"/>
            <w:tcBorders>
              <w:top w:val="nil"/>
              <w:left w:val="nil"/>
              <w:bottom w:val="nil"/>
              <w:right w:val="nil"/>
            </w:tcBorders>
            <w:shd w:val="clear" w:color="auto" w:fill="auto"/>
            <w:noWrap/>
            <w:vAlign w:val="center"/>
            <w:hideMark/>
          </w:tcPr>
          <w:p w14:paraId="52DEFA8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(1.18)</w:t>
            </w:r>
          </w:p>
        </w:tc>
        <w:tc>
          <w:tcPr>
            <w:tcW w:w="844" w:type="dxa"/>
            <w:tcBorders>
              <w:top w:val="nil"/>
              <w:left w:val="nil"/>
              <w:bottom w:val="nil"/>
              <w:right w:val="nil"/>
            </w:tcBorders>
            <w:shd w:val="clear" w:color="auto" w:fill="auto"/>
            <w:noWrap/>
            <w:vAlign w:val="center"/>
            <w:hideMark/>
          </w:tcPr>
          <w:p w14:paraId="4F3E5C9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(3.31)</w:t>
            </w:r>
          </w:p>
        </w:tc>
        <w:tc>
          <w:tcPr>
            <w:tcW w:w="845" w:type="dxa"/>
            <w:tcBorders>
              <w:top w:val="nil"/>
              <w:left w:val="nil"/>
              <w:bottom w:val="nil"/>
              <w:right w:val="nil"/>
            </w:tcBorders>
            <w:shd w:val="clear" w:color="auto" w:fill="auto"/>
            <w:noWrap/>
            <w:vAlign w:val="center"/>
            <w:hideMark/>
          </w:tcPr>
          <w:p w14:paraId="2673129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(0.34)</w:t>
            </w:r>
          </w:p>
        </w:tc>
        <w:tc>
          <w:tcPr>
            <w:tcW w:w="844" w:type="dxa"/>
            <w:tcBorders>
              <w:top w:val="nil"/>
              <w:left w:val="nil"/>
              <w:bottom w:val="nil"/>
              <w:right w:val="nil"/>
            </w:tcBorders>
            <w:shd w:val="clear" w:color="auto" w:fill="auto"/>
            <w:noWrap/>
            <w:vAlign w:val="center"/>
            <w:hideMark/>
          </w:tcPr>
          <w:p w14:paraId="279D808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(1.92)</w:t>
            </w:r>
          </w:p>
        </w:tc>
        <w:tc>
          <w:tcPr>
            <w:tcW w:w="864" w:type="dxa"/>
            <w:tcBorders>
              <w:top w:val="nil"/>
              <w:left w:val="nil"/>
              <w:bottom w:val="nil"/>
              <w:right w:val="nil"/>
            </w:tcBorders>
            <w:shd w:val="clear" w:color="auto" w:fill="auto"/>
            <w:noWrap/>
            <w:vAlign w:val="center"/>
            <w:hideMark/>
          </w:tcPr>
          <w:p w14:paraId="60597C8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(-1.04)</w:t>
            </w:r>
          </w:p>
        </w:tc>
        <w:tc>
          <w:tcPr>
            <w:tcW w:w="844" w:type="dxa"/>
            <w:tcBorders>
              <w:top w:val="nil"/>
              <w:left w:val="nil"/>
              <w:bottom w:val="nil"/>
              <w:right w:val="nil"/>
            </w:tcBorders>
            <w:shd w:val="clear" w:color="auto" w:fill="auto"/>
            <w:noWrap/>
            <w:vAlign w:val="center"/>
            <w:hideMark/>
          </w:tcPr>
          <w:p w14:paraId="640C63E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(0.069)</w:t>
            </w:r>
          </w:p>
        </w:tc>
        <w:tc>
          <w:tcPr>
            <w:tcW w:w="844" w:type="dxa"/>
            <w:tcBorders>
              <w:top w:val="nil"/>
              <w:left w:val="nil"/>
              <w:bottom w:val="nil"/>
              <w:right w:val="nil"/>
            </w:tcBorders>
            <w:shd w:val="clear" w:color="auto" w:fill="auto"/>
            <w:noWrap/>
            <w:vAlign w:val="center"/>
            <w:hideMark/>
          </w:tcPr>
          <w:p w14:paraId="4A61424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(-0.73)</w:t>
            </w:r>
          </w:p>
        </w:tc>
        <w:tc>
          <w:tcPr>
            <w:tcW w:w="845" w:type="dxa"/>
            <w:tcBorders>
              <w:top w:val="nil"/>
              <w:left w:val="nil"/>
              <w:bottom w:val="nil"/>
              <w:right w:val="nil"/>
            </w:tcBorders>
            <w:shd w:val="clear" w:color="auto" w:fill="auto"/>
            <w:noWrap/>
            <w:vAlign w:val="center"/>
            <w:hideMark/>
          </w:tcPr>
          <w:p w14:paraId="103766F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(1.79)</w:t>
            </w:r>
          </w:p>
        </w:tc>
        <w:tc>
          <w:tcPr>
            <w:tcW w:w="844" w:type="dxa"/>
            <w:tcBorders>
              <w:top w:val="nil"/>
              <w:left w:val="nil"/>
              <w:bottom w:val="nil"/>
              <w:right w:val="nil"/>
            </w:tcBorders>
            <w:shd w:val="clear" w:color="auto" w:fill="auto"/>
            <w:noWrap/>
            <w:vAlign w:val="center"/>
            <w:hideMark/>
          </w:tcPr>
          <w:p w14:paraId="38760A2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(-0.55)</w:t>
            </w:r>
          </w:p>
        </w:tc>
        <w:tc>
          <w:tcPr>
            <w:tcW w:w="845" w:type="dxa"/>
            <w:tcBorders>
              <w:top w:val="nil"/>
              <w:left w:val="nil"/>
              <w:bottom w:val="nil"/>
              <w:right w:val="nil"/>
            </w:tcBorders>
            <w:shd w:val="clear" w:color="auto" w:fill="auto"/>
            <w:noWrap/>
            <w:vAlign w:val="center"/>
            <w:hideMark/>
          </w:tcPr>
          <w:p w14:paraId="236FDCF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(-1.41)</w:t>
            </w:r>
          </w:p>
        </w:tc>
        <w:tc>
          <w:tcPr>
            <w:tcW w:w="844" w:type="dxa"/>
            <w:tcBorders>
              <w:top w:val="nil"/>
              <w:left w:val="nil"/>
              <w:bottom w:val="nil"/>
              <w:right w:val="nil"/>
            </w:tcBorders>
            <w:shd w:val="clear" w:color="auto" w:fill="auto"/>
            <w:noWrap/>
            <w:vAlign w:val="center"/>
            <w:hideMark/>
          </w:tcPr>
          <w:p w14:paraId="157C0FE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(0.56)</w:t>
            </w:r>
          </w:p>
        </w:tc>
        <w:tc>
          <w:tcPr>
            <w:tcW w:w="845" w:type="dxa"/>
            <w:tcBorders>
              <w:top w:val="nil"/>
              <w:left w:val="nil"/>
              <w:bottom w:val="nil"/>
              <w:right w:val="nil"/>
            </w:tcBorders>
            <w:shd w:val="clear" w:color="auto" w:fill="auto"/>
            <w:noWrap/>
            <w:vAlign w:val="center"/>
            <w:hideMark/>
          </w:tcPr>
          <w:p w14:paraId="537AB82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(1.09)</w:t>
            </w:r>
          </w:p>
        </w:tc>
      </w:tr>
      <w:tr w:rsidR="0089544F" w:rsidRPr="00263C50" w14:paraId="63FFE6DA" w14:textId="77777777" w:rsidTr="005668E0">
        <w:trPr>
          <w:trHeight w:val="20"/>
        </w:trPr>
        <w:tc>
          <w:tcPr>
            <w:tcW w:w="1008" w:type="dxa"/>
            <w:tcBorders>
              <w:top w:val="nil"/>
              <w:left w:val="nil"/>
              <w:bottom w:val="nil"/>
              <w:right w:val="nil"/>
            </w:tcBorders>
            <w:shd w:val="clear" w:color="auto" w:fill="auto"/>
            <w:noWrap/>
            <w:vAlign w:val="center"/>
            <w:hideMark/>
          </w:tcPr>
          <w:p w14:paraId="4DBCE4FF"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roofErr w:type="spellStart"/>
            <w:r w:rsidRPr="00263C50">
              <w:rPr>
                <w:rFonts w:ascii="Times New Roman" w:hAnsi="Times New Roman" w:cs="Times New Roman"/>
                <w:i/>
                <w:color w:val="000000"/>
                <w:sz w:val="15"/>
                <w:szCs w:val="15"/>
              </w:rPr>
              <w:t>WrkExp</w:t>
            </w:r>
            <w:proofErr w:type="spellEnd"/>
          </w:p>
        </w:tc>
        <w:tc>
          <w:tcPr>
            <w:tcW w:w="844" w:type="dxa"/>
            <w:tcBorders>
              <w:top w:val="nil"/>
              <w:left w:val="nil"/>
              <w:bottom w:val="nil"/>
              <w:right w:val="nil"/>
            </w:tcBorders>
            <w:shd w:val="clear" w:color="auto" w:fill="auto"/>
            <w:noWrap/>
            <w:vAlign w:val="center"/>
            <w:hideMark/>
          </w:tcPr>
          <w:p w14:paraId="62A9E88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-0.039</w:t>
            </w:r>
          </w:p>
        </w:tc>
        <w:tc>
          <w:tcPr>
            <w:tcW w:w="844" w:type="dxa"/>
            <w:tcBorders>
              <w:top w:val="nil"/>
              <w:left w:val="nil"/>
              <w:bottom w:val="nil"/>
              <w:right w:val="nil"/>
            </w:tcBorders>
            <w:shd w:val="clear" w:color="auto" w:fill="auto"/>
            <w:noWrap/>
            <w:vAlign w:val="center"/>
            <w:hideMark/>
          </w:tcPr>
          <w:p w14:paraId="2B4A270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-0.055</w:t>
            </w:r>
          </w:p>
        </w:tc>
        <w:tc>
          <w:tcPr>
            <w:tcW w:w="845" w:type="dxa"/>
            <w:tcBorders>
              <w:top w:val="nil"/>
              <w:left w:val="nil"/>
              <w:bottom w:val="nil"/>
              <w:right w:val="nil"/>
            </w:tcBorders>
            <w:shd w:val="clear" w:color="auto" w:fill="auto"/>
            <w:noWrap/>
            <w:vAlign w:val="center"/>
            <w:hideMark/>
          </w:tcPr>
          <w:p w14:paraId="56C758C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0.070</w:t>
            </w:r>
          </w:p>
        </w:tc>
        <w:tc>
          <w:tcPr>
            <w:tcW w:w="844" w:type="dxa"/>
            <w:tcBorders>
              <w:top w:val="nil"/>
              <w:left w:val="nil"/>
              <w:bottom w:val="nil"/>
              <w:right w:val="nil"/>
            </w:tcBorders>
            <w:shd w:val="clear" w:color="auto" w:fill="auto"/>
            <w:noWrap/>
            <w:vAlign w:val="center"/>
            <w:hideMark/>
          </w:tcPr>
          <w:p w14:paraId="38A4ECE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-0.19*</w:t>
            </w:r>
          </w:p>
        </w:tc>
        <w:tc>
          <w:tcPr>
            <w:tcW w:w="845" w:type="dxa"/>
            <w:tcBorders>
              <w:top w:val="nil"/>
              <w:left w:val="nil"/>
              <w:bottom w:val="nil"/>
              <w:right w:val="nil"/>
            </w:tcBorders>
            <w:shd w:val="clear" w:color="auto" w:fill="auto"/>
            <w:noWrap/>
            <w:vAlign w:val="center"/>
            <w:hideMark/>
          </w:tcPr>
          <w:p w14:paraId="2A225A3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-0.14*</w:t>
            </w:r>
          </w:p>
        </w:tc>
        <w:tc>
          <w:tcPr>
            <w:tcW w:w="844" w:type="dxa"/>
            <w:tcBorders>
              <w:top w:val="nil"/>
              <w:left w:val="nil"/>
              <w:bottom w:val="nil"/>
              <w:right w:val="nil"/>
            </w:tcBorders>
            <w:shd w:val="clear" w:color="auto" w:fill="auto"/>
            <w:noWrap/>
            <w:vAlign w:val="center"/>
            <w:hideMark/>
          </w:tcPr>
          <w:p w14:paraId="02EC2EE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-0.050</w:t>
            </w:r>
          </w:p>
        </w:tc>
        <w:tc>
          <w:tcPr>
            <w:tcW w:w="864" w:type="dxa"/>
            <w:tcBorders>
              <w:top w:val="nil"/>
              <w:left w:val="nil"/>
              <w:bottom w:val="nil"/>
              <w:right w:val="nil"/>
            </w:tcBorders>
            <w:shd w:val="clear" w:color="auto" w:fill="auto"/>
            <w:noWrap/>
            <w:vAlign w:val="center"/>
            <w:hideMark/>
          </w:tcPr>
          <w:p w14:paraId="39D0008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-0.080</w:t>
            </w:r>
          </w:p>
        </w:tc>
        <w:tc>
          <w:tcPr>
            <w:tcW w:w="844" w:type="dxa"/>
            <w:tcBorders>
              <w:top w:val="nil"/>
              <w:left w:val="nil"/>
              <w:bottom w:val="nil"/>
              <w:right w:val="nil"/>
            </w:tcBorders>
            <w:shd w:val="clear" w:color="auto" w:fill="auto"/>
            <w:noWrap/>
            <w:vAlign w:val="center"/>
            <w:hideMark/>
          </w:tcPr>
          <w:p w14:paraId="7BB00B4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-0.11</w:t>
            </w:r>
          </w:p>
        </w:tc>
        <w:tc>
          <w:tcPr>
            <w:tcW w:w="844" w:type="dxa"/>
            <w:tcBorders>
              <w:top w:val="nil"/>
              <w:left w:val="nil"/>
              <w:bottom w:val="nil"/>
              <w:right w:val="nil"/>
            </w:tcBorders>
            <w:shd w:val="clear" w:color="auto" w:fill="auto"/>
            <w:noWrap/>
            <w:vAlign w:val="center"/>
            <w:hideMark/>
          </w:tcPr>
          <w:p w14:paraId="2BACF53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-0.10</w:t>
            </w:r>
          </w:p>
        </w:tc>
        <w:tc>
          <w:tcPr>
            <w:tcW w:w="845" w:type="dxa"/>
            <w:tcBorders>
              <w:top w:val="nil"/>
              <w:left w:val="nil"/>
              <w:bottom w:val="nil"/>
              <w:right w:val="nil"/>
            </w:tcBorders>
            <w:shd w:val="clear" w:color="auto" w:fill="auto"/>
            <w:noWrap/>
            <w:vAlign w:val="center"/>
            <w:hideMark/>
          </w:tcPr>
          <w:p w14:paraId="2548EE3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-0.025</w:t>
            </w:r>
          </w:p>
        </w:tc>
        <w:tc>
          <w:tcPr>
            <w:tcW w:w="844" w:type="dxa"/>
            <w:tcBorders>
              <w:top w:val="nil"/>
              <w:left w:val="nil"/>
              <w:bottom w:val="nil"/>
              <w:right w:val="nil"/>
            </w:tcBorders>
            <w:shd w:val="clear" w:color="auto" w:fill="auto"/>
            <w:noWrap/>
            <w:vAlign w:val="center"/>
            <w:hideMark/>
          </w:tcPr>
          <w:p w14:paraId="79E791A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-0.078</w:t>
            </w:r>
          </w:p>
        </w:tc>
        <w:tc>
          <w:tcPr>
            <w:tcW w:w="845" w:type="dxa"/>
            <w:tcBorders>
              <w:top w:val="nil"/>
              <w:left w:val="nil"/>
              <w:bottom w:val="nil"/>
              <w:right w:val="nil"/>
            </w:tcBorders>
            <w:shd w:val="clear" w:color="auto" w:fill="auto"/>
            <w:noWrap/>
            <w:vAlign w:val="center"/>
            <w:hideMark/>
          </w:tcPr>
          <w:p w14:paraId="43CB1C5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-0.053</w:t>
            </w:r>
          </w:p>
        </w:tc>
        <w:tc>
          <w:tcPr>
            <w:tcW w:w="844" w:type="dxa"/>
            <w:tcBorders>
              <w:top w:val="nil"/>
              <w:left w:val="nil"/>
              <w:bottom w:val="nil"/>
              <w:right w:val="nil"/>
            </w:tcBorders>
            <w:shd w:val="clear" w:color="auto" w:fill="auto"/>
            <w:noWrap/>
            <w:vAlign w:val="center"/>
            <w:hideMark/>
          </w:tcPr>
          <w:p w14:paraId="620C094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-0.24**</w:t>
            </w:r>
          </w:p>
        </w:tc>
        <w:tc>
          <w:tcPr>
            <w:tcW w:w="845" w:type="dxa"/>
            <w:tcBorders>
              <w:top w:val="nil"/>
              <w:left w:val="nil"/>
              <w:bottom w:val="nil"/>
              <w:right w:val="nil"/>
            </w:tcBorders>
            <w:shd w:val="clear" w:color="auto" w:fill="auto"/>
            <w:noWrap/>
            <w:vAlign w:val="center"/>
            <w:hideMark/>
          </w:tcPr>
          <w:p w14:paraId="02CBEAE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-0.080</w:t>
            </w:r>
          </w:p>
        </w:tc>
      </w:tr>
      <w:tr w:rsidR="0089544F" w:rsidRPr="00263C50" w14:paraId="4EA066BC" w14:textId="77777777" w:rsidTr="005668E0">
        <w:trPr>
          <w:trHeight w:val="20"/>
        </w:trPr>
        <w:tc>
          <w:tcPr>
            <w:tcW w:w="1008" w:type="dxa"/>
            <w:tcBorders>
              <w:top w:val="nil"/>
              <w:left w:val="nil"/>
              <w:bottom w:val="nil"/>
              <w:right w:val="nil"/>
            </w:tcBorders>
            <w:shd w:val="clear" w:color="auto" w:fill="auto"/>
            <w:noWrap/>
            <w:vAlign w:val="center"/>
            <w:hideMark/>
          </w:tcPr>
          <w:p w14:paraId="6B481CDA"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
        </w:tc>
        <w:tc>
          <w:tcPr>
            <w:tcW w:w="844" w:type="dxa"/>
            <w:tcBorders>
              <w:top w:val="nil"/>
              <w:left w:val="nil"/>
              <w:bottom w:val="nil"/>
              <w:right w:val="nil"/>
            </w:tcBorders>
            <w:shd w:val="clear" w:color="auto" w:fill="auto"/>
            <w:noWrap/>
            <w:vAlign w:val="center"/>
            <w:hideMark/>
          </w:tcPr>
          <w:p w14:paraId="4887B80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(-0.37)</w:t>
            </w:r>
          </w:p>
        </w:tc>
        <w:tc>
          <w:tcPr>
            <w:tcW w:w="844" w:type="dxa"/>
            <w:tcBorders>
              <w:top w:val="nil"/>
              <w:left w:val="nil"/>
              <w:bottom w:val="nil"/>
              <w:right w:val="nil"/>
            </w:tcBorders>
            <w:shd w:val="clear" w:color="auto" w:fill="auto"/>
            <w:noWrap/>
            <w:vAlign w:val="center"/>
            <w:hideMark/>
          </w:tcPr>
          <w:p w14:paraId="19AACBE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(-0.76)</w:t>
            </w:r>
          </w:p>
        </w:tc>
        <w:tc>
          <w:tcPr>
            <w:tcW w:w="845" w:type="dxa"/>
            <w:tcBorders>
              <w:top w:val="nil"/>
              <w:left w:val="nil"/>
              <w:bottom w:val="nil"/>
              <w:right w:val="nil"/>
            </w:tcBorders>
            <w:shd w:val="clear" w:color="auto" w:fill="auto"/>
            <w:noWrap/>
            <w:vAlign w:val="center"/>
            <w:hideMark/>
          </w:tcPr>
          <w:p w14:paraId="485DA9C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(0.73)</w:t>
            </w:r>
          </w:p>
        </w:tc>
        <w:tc>
          <w:tcPr>
            <w:tcW w:w="844" w:type="dxa"/>
            <w:tcBorders>
              <w:top w:val="nil"/>
              <w:left w:val="nil"/>
              <w:bottom w:val="nil"/>
              <w:right w:val="nil"/>
            </w:tcBorders>
            <w:shd w:val="clear" w:color="auto" w:fill="auto"/>
            <w:noWrap/>
            <w:vAlign w:val="center"/>
            <w:hideMark/>
          </w:tcPr>
          <w:p w14:paraId="4C46DBA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(-1.93)</w:t>
            </w:r>
          </w:p>
        </w:tc>
        <w:tc>
          <w:tcPr>
            <w:tcW w:w="845" w:type="dxa"/>
            <w:tcBorders>
              <w:top w:val="nil"/>
              <w:left w:val="nil"/>
              <w:bottom w:val="nil"/>
              <w:right w:val="nil"/>
            </w:tcBorders>
            <w:shd w:val="clear" w:color="auto" w:fill="auto"/>
            <w:noWrap/>
            <w:vAlign w:val="center"/>
            <w:hideMark/>
          </w:tcPr>
          <w:p w14:paraId="5564B35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(-1.87)</w:t>
            </w:r>
          </w:p>
        </w:tc>
        <w:tc>
          <w:tcPr>
            <w:tcW w:w="844" w:type="dxa"/>
            <w:tcBorders>
              <w:top w:val="nil"/>
              <w:left w:val="nil"/>
              <w:bottom w:val="nil"/>
              <w:right w:val="nil"/>
            </w:tcBorders>
            <w:shd w:val="clear" w:color="auto" w:fill="auto"/>
            <w:noWrap/>
            <w:vAlign w:val="center"/>
            <w:hideMark/>
          </w:tcPr>
          <w:p w14:paraId="1341C4A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(-0.60)</w:t>
            </w:r>
          </w:p>
        </w:tc>
        <w:tc>
          <w:tcPr>
            <w:tcW w:w="864" w:type="dxa"/>
            <w:tcBorders>
              <w:top w:val="nil"/>
              <w:left w:val="nil"/>
              <w:bottom w:val="nil"/>
              <w:right w:val="nil"/>
            </w:tcBorders>
            <w:shd w:val="clear" w:color="auto" w:fill="auto"/>
            <w:noWrap/>
            <w:vAlign w:val="center"/>
            <w:hideMark/>
          </w:tcPr>
          <w:p w14:paraId="5D21707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(-1.20)</w:t>
            </w:r>
          </w:p>
        </w:tc>
        <w:tc>
          <w:tcPr>
            <w:tcW w:w="844" w:type="dxa"/>
            <w:tcBorders>
              <w:top w:val="nil"/>
              <w:left w:val="nil"/>
              <w:bottom w:val="nil"/>
              <w:right w:val="nil"/>
            </w:tcBorders>
            <w:shd w:val="clear" w:color="auto" w:fill="auto"/>
            <w:noWrap/>
            <w:vAlign w:val="center"/>
            <w:hideMark/>
          </w:tcPr>
          <w:p w14:paraId="66E54BF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(-1.06)</w:t>
            </w:r>
          </w:p>
        </w:tc>
        <w:tc>
          <w:tcPr>
            <w:tcW w:w="844" w:type="dxa"/>
            <w:tcBorders>
              <w:top w:val="nil"/>
              <w:left w:val="nil"/>
              <w:bottom w:val="nil"/>
              <w:right w:val="nil"/>
            </w:tcBorders>
            <w:shd w:val="clear" w:color="auto" w:fill="auto"/>
            <w:noWrap/>
            <w:vAlign w:val="center"/>
            <w:hideMark/>
          </w:tcPr>
          <w:p w14:paraId="05A12E4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(-1.22)</w:t>
            </w:r>
          </w:p>
        </w:tc>
        <w:tc>
          <w:tcPr>
            <w:tcW w:w="845" w:type="dxa"/>
            <w:tcBorders>
              <w:top w:val="nil"/>
              <w:left w:val="nil"/>
              <w:bottom w:val="nil"/>
              <w:right w:val="nil"/>
            </w:tcBorders>
            <w:shd w:val="clear" w:color="auto" w:fill="auto"/>
            <w:noWrap/>
            <w:vAlign w:val="center"/>
            <w:hideMark/>
          </w:tcPr>
          <w:p w14:paraId="1379664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(-0.25)</w:t>
            </w:r>
          </w:p>
        </w:tc>
        <w:tc>
          <w:tcPr>
            <w:tcW w:w="844" w:type="dxa"/>
            <w:tcBorders>
              <w:top w:val="nil"/>
              <w:left w:val="nil"/>
              <w:bottom w:val="nil"/>
              <w:right w:val="nil"/>
            </w:tcBorders>
            <w:shd w:val="clear" w:color="auto" w:fill="auto"/>
            <w:noWrap/>
            <w:vAlign w:val="center"/>
            <w:hideMark/>
          </w:tcPr>
          <w:p w14:paraId="3355C81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(-0.95)</w:t>
            </w:r>
          </w:p>
        </w:tc>
        <w:tc>
          <w:tcPr>
            <w:tcW w:w="845" w:type="dxa"/>
            <w:tcBorders>
              <w:top w:val="nil"/>
              <w:left w:val="nil"/>
              <w:bottom w:val="nil"/>
              <w:right w:val="nil"/>
            </w:tcBorders>
            <w:shd w:val="clear" w:color="auto" w:fill="auto"/>
            <w:noWrap/>
            <w:vAlign w:val="center"/>
            <w:hideMark/>
          </w:tcPr>
          <w:p w14:paraId="7CEA4F2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(-0.53)</w:t>
            </w:r>
          </w:p>
        </w:tc>
        <w:tc>
          <w:tcPr>
            <w:tcW w:w="844" w:type="dxa"/>
            <w:tcBorders>
              <w:top w:val="nil"/>
              <w:left w:val="nil"/>
              <w:bottom w:val="nil"/>
              <w:right w:val="nil"/>
            </w:tcBorders>
            <w:shd w:val="clear" w:color="auto" w:fill="auto"/>
            <w:noWrap/>
            <w:vAlign w:val="center"/>
            <w:hideMark/>
          </w:tcPr>
          <w:p w14:paraId="43EB96D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(-2.56)</w:t>
            </w:r>
          </w:p>
        </w:tc>
        <w:tc>
          <w:tcPr>
            <w:tcW w:w="845" w:type="dxa"/>
            <w:tcBorders>
              <w:top w:val="nil"/>
              <w:left w:val="nil"/>
              <w:bottom w:val="nil"/>
              <w:right w:val="nil"/>
            </w:tcBorders>
            <w:shd w:val="clear" w:color="auto" w:fill="auto"/>
            <w:noWrap/>
            <w:vAlign w:val="center"/>
            <w:hideMark/>
          </w:tcPr>
          <w:p w14:paraId="4006596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(-0.77)</w:t>
            </w:r>
          </w:p>
        </w:tc>
      </w:tr>
      <w:tr w:rsidR="0089544F" w:rsidRPr="00263C50" w14:paraId="22EBF6F6" w14:textId="77777777" w:rsidTr="005668E0">
        <w:trPr>
          <w:trHeight w:val="20"/>
        </w:trPr>
        <w:tc>
          <w:tcPr>
            <w:tcW w:w="1008" w:type="dxa"/>
            <w:tcBorders>
              <w:top w:val="nil"/>
              <w:left w:val="nil"/>
              <w:bottom w:val="nil"/>
              <w:right w:val="nil"/>
            </w:tcBorders>
            <w:shd w:val="clear" w:color="auto" w:fill="auto"/>
            <w:noWrap/>
            <w:vAlign w:val="center"/>
            <w:hideMark/>
          </w:tcPr>
          <w:p w14:paraId="7A921B7A"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roofErr w:type="spellStart"/>
            <w:r w:rsidRPr="00263C50">
              <w:rPr>
                <w:rFonts w:ascii="Times New Roman" w:hAnsi="Times New Roman" w:cs="Times New Roman"/>
                <w:i/>
                <w:color w:val="000000"/>
                <w:sz w:val="15"/>
                <w:szCs w:val="15"/>
              </w:rPr>
              <w:t>PaperFile</w:t>
            </w:r>
            <w:proofErr w:type="spellEnd"/>
          </w:p>
        </w:tc>
        <w:tc>
          <w:tcPr>
            <w:tcW w:w="844" w:type="dxa"/>
            <w:tcBorders>
              <w:top w:val="nil"/>
              <w:left w:val="nil"/>
              <w:bottom w:val="nil"/>
              <w:right w:val="nil"/>
            </w:tcBorders>
            <w:shd w:val="clear" w:color="auto" w:fill="auto"/>
            <w:noWrap/>
            <w:vAlign w:val="center"/>
            <w:hideMark/>
          </w:tcPr>
          <w:p w14:paraId="523507B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0.11</w:t>
            </w:r>
          </w:p>
        </w:tc>
        <w:tc>
          <w:tcPr>
            <w:tcW w:w="844" w:type="dxa"/>
            <w:tcBorders>
              <w:top w:val="nil"/>
              <w:left w:val="nil"/>
              <w:bottom w:val="nil"/>
              <w:right w:val="nil"/>
            </w:tcBorders>
            <w:shd w:val="clear" w:color="auto" w:fill="auto"/>
            <w:noWrap/>
            <w:vAlign w:val="center"/>
            <w:hideMark/>
          </w:tcPr>
          <w:p w14:paraId="5775BCA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-0.21*</w:t>
            </w:r>
          </w:p>
        </w:tc>
        <w:tc>
          <w:tcPr>
            <w:tcW w:w="845" w:type="dxa"/>
            <w:tcBorders>
              <w:top w:val="nil"/>
              <w:left w:val="nil"/>
              <w:bottom w:val="nil"/>
              <w:right w:val="nil"/>
            </w:tcBorders>
            <w:shd w:val="clear" w:color="auto" w:fill="auto"/>
            <w:noWrap/>
            <w:vAlign w:val="center"/>
            <w:hideMark/>
          </w:tcPr>
          <w:p w14:paraId="5AD2AC2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-0.25**</w:t>
            </w:r>
          </w:p>
        </w:tc>
        <w:tc>
          <w:tcPr>
            <w:tcW w:w="844" w:type="dxa"/>
            <w:tcBorders>
              <w:top w:val="nil"/>
              <w:left w:val="nil"/>
              <w:bottom w:val="nil"/>
              <w:right w:val="nil"/>
            </w:tcBorders>
            <w:shd w:val="clear" w:color="auto" w:fill="auto"/>
            <w:noWrap/>
            <w:vAlign w:val="center"/>
            <w:hideMark/>
          </w:tcPr>
          <w:p w14:paraId="5F23466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0.019</w:t>
            </w:r>
          </w:p>
        </w:tc>
        <w:tc>
          <w:tcPr>
            <w:tcW w:w="845" w:type="dxa"/>
            <w:tcBorders>
              <w:top w:val="nil"/>
              <w:left w:val="nil"/>
              <w:bottom w:val="nil"/>
              <w:right w:val="nil"/>
            </w:tcBorders>
            <w:shd w:val="clear" w:color="auto" w:fill="auto"/>
            <w:noWrap/>
            <w:vAlign w:val="center"/>
            <w:hideMark/>
          </w:tcPr>
          <w:p w14:paraId="6751EA3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0.13</w:t>
            </w:r>
          </w:p>
        </w:tc>
        <w:tc>
          <w:tcPr>
            <w:tcW w:w="844" w:type="dxa"/>
            <w:tcBorders>
              <w:top w:val="nil"/>
              <w:left w:val="nil"/>
              <w:bottom w:val="nil"/>
              <w:right w:val="nil"/>
            </w:tcBorders>
            <w:shd w:val="clear" w:color="auto" w:fill="auto"/>
            <w:noWrap/>
            <w:vAlign w:val="center"/>
            <w:hideMark/>
          </w:tcPr>
          <w:p w14:paraId="4C93FEC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0.13</w:t>
            </w:r>
          </w:p>
        </w:tc>
        <w:tc>
          <w:tcPr>
            <w:tcW w:w="864" w:type="dxa"/>
            <w:tcBorders>
              <w:top w:val="nil"/>
              <w:left w:val="nil"/>
              <w:bottom w:val="nil"/>
              <w:right w:val="nil"/>
            </w:tcBorders>
            <w:shd w:val="clear" w:color="auto" w:fill="auto"/>
            <w:noWrap/>
            <w:vAlign w:val="center"/>
            <w:hideMark/>
          </w:tcPr>
          <w:p w14:paraId="64A2D3B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-0.013</w:t>
            </w:r>
          </w:p>
        </w:tc>
        <w:tc>
          <w:tcPr>
            <w:tcW w:w="844" w:type="dxa"/>
            <w:tcBorders>
              <w:top w:val="nil"/>
              <w:left w:val="nil"/>
              <w:bottom w:val="nil"/>
              <w:right w:val="nil"/>
            </w:tcBorders>
            <w:shd w:val="clear" w:color="auto" w:fill="auto"/>
            <w:noWrap/>
            <w:vAlign w:val="center"/>
            <w:hideMark/>
          </w:tcPr>
          <w:p w14:paraId="55A1EE9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0.18</w:t>
            </w:r>
          </w:p>
        </w:tc>
        <w:tc>
          <w:tcPr>
            <w:tcW w:w="844" w:type="dxa"/>
            <w:tcBorders>
              <w:top w:val="nil"/>
              <w:left w:val="nil"/>
              <w:bottom w:val="nil"/>
              <w:right w:val="nil"/>
            </w:tcBorders>
            <w:shd w:val="clear" w:color="auto" w:fill="auto"/>
            <w:noWrap/>
            <w:vAlign w:val="center"/>
            <w:hideMark/>
          </w:tcPr>
          <w:p w14:paraId="404C385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-0.12</w:t>
            </w:r>
          </w:p>
        </w:tc>
        <w:tc>
          <w:tcPr>
            <w:tcW w:w="845" w:type="dxa"/>
            <w:tcBorders>
              <w:top w:val="nil"/>
              <w:left w:val="nil"/>
              <w:bottom w:val="nil"/>
              <w:right w:val="nil"/>
            </w:tcBorders>
            <w:shd w:val="clear" w:color="auto" w:fill="auto"/>
            <w:noWrap/>
            <w:vAlign w:val="center"/>
            <w:hideMark/>
          </w:tcPr>
          <w:p w14:paraId="471AD8C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-0.099</w:t>
            </w:r>
          </w:p>
        </w:tc>
        <w:tc>
          <w:tcPr>
            <w:tcW w:w="844" w:type="dxa"/>
            <w:tcBorders>
              <w:top w:val="nil"/>
              <w:left w:val="nil"/>
              <w:bottom w:val="nil"/>
              <w:right w:val="nil"/>
            </w:tcBorders>
            <w:shd w:val="clear" w:color="auto" w:fill="auto"/>
            <w:noWrap/>
            <w:vAlign w:val="center"/>
            <w:hideMark/>
          </w:tcPr>
          <w:p w14:paraId="6BFBC68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0.064</w:t>
            </w:r>
          </w:p>
        </w:tc>
        <w:tc>
          <w:tcPr>
            <w:tcW w:w="845" w:type="dxa"/>
            <w:tcBorders>
              <w:top w:val="nil"/>
              <w:left w:val="nil"/>
              <w:bottom w:val="nil"/>
              <w:right w:val="nil"/>
            </w:tcBorders>
            <w:shd w:val="clear" w:color="auto" w:fill="auto"/>
            <w:noWrap/>
            <w:vAlign w:val="center"/>
            <w:hideMark/>
          </w:tcPr>
          <w:p w14:paraId="34FB05C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0.020</w:t>
            </w:r>
          </w:p>
        </w:tc>
        <w:tc>
          <w:tcPr>
            <w:tcW w:w="844" w:type="dxa"/>
            <w:tcBorders>
              <w:top w:val="nil"/>
              <w:left w:val="nil"/>
              <w:bottom w:val="nil"/>
              <w:right w:val="nil"/>
            </w:tcBorders>
            <w:shd w:val="clear" w:color="auto" w:fill="auto"/>
            <w:noWrap/>
            <w:vAlign w:val="center"/>
            <w:hideMark/>
          </w:tcPr>
          <w:p w14:paraId="1D195EB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0.12</w:t>
            </w:r>
          </w:p>
        </w:tc>
        <w:tc>
          <w:tcPr>
            <w:tcW w:w="845" w:type="dxa"/>
            <w:tcBorders>
              <w:top w:val="nil"/>
              <w:left w:val="nil"/>
              <w:bottom w:val="nil"/>
              <w:right w:val="nil"/>
            </w:tcBorders>
            <w:shd w:val="clear" w:color="auto" w:fill="auto"/>
            <w:noWrap/>
            <w:vAlign w:val="center"/>
            <w:hideMark/>
          </w:tcPr>
          <w:p w14:paraId="7153478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-0.029</w:t>
            </w:r>
          </w:p>
        </w:tc>
      </w:tr>
      <w:tr w:rsidR="0089544F" w:rsidRPr="00263C50" w14:paraId="1914C03E" w14:textId="77777777" w:rsidTr="005668E0">
        <w:trPr>
          <w:trHeight w:val="20"/>
        </w:trPr>
        <w:tc>
          <w:tcPr>
            <w:tcW w:w="1008" w:type="dxa"/>
            <w:tcBorders>
              <w:top w:val="nil"/>
              <w:left w:val="nil"/>
              <w:bottom w:val="nil"/>
              <w:right w:val="nil"/>
            </w:tcBorders>
            <w:shd w:val="clear" w:color="auto" w:fill="auto"/>
            <w:noWrap/>
            <w:vAlign w:val="center"/>
            <w:hideMark/>
          </w:tcPr>
          <w:p w14:paraId="516E0B04"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
        </w:tc>
        <w:tc>
          <w:tcPr>
            <w:tcW w:w="844" w:type="dxa"/>
            <w:tcBorders>
              <w:top w:val="nil"/>
              <w:left w:val="nil"/>
              <w:bottom w:val="nil"/>
              <w:right w:val="nil"/>
            </w:tcBorders>
            <w:shd w:val="clear" w:color="auto" w:fill="auto"/>
            <w:noWrap/>
            <w:vAlign w:val="center"/>
            <w:hideMark/>
          </w:tcPr>
          <w:p w14:paraId="05A9758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(0.92)</w:t>
            </w:r>
          </w:p>
        </w:tc>
        <w:tc>
          <w:tcPr>
            <w:tcW w:w="844" w:type="dxa"/>
            <w:tcBorders>
              <w:top w:val="nil"/>
              <w:left w:val="nil"/>
              <w:bottom w:val="nil"/>
              <w:right w:val="nil"/>
            </w:tcBorders>
            <w:shd w:val="clear" w:color="auto" w:fill="auto"/>
            <w:noWrap/>
            <w:vAlign w:val="center"/>
            <w:hideMark/>
          </w:tcPr>
          <w:p w14:paraId="510E135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(-1.92)</w:t>
            </w:r>
          </w:p>
        </w:tc>
        <w:tc>
          <w:tcPr>
            <w:tcW w:w="845" w:type="dxa"/>
            <w:tcBorders>
              <w:top w:val="nil"/>
              <w:left w:val="nil"/>
              <w:bottom w:val="nil"/>
              <w:right w:val="nil"/>
            </w:tcBorders>
            <w:shd w:val="clear" w:color="auto" w:fill="auto"/>
            <w:noWrap/>
            <w:vAlign w:val="center"/>
            <w:hideMark/>
          </w:tcPr>
          <w:p w14:paraId="2409721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(-2.56)</w:t>
            </w:r>
          </w:p>
        </w:tc>
        <w:tc>
          <w:tcPr>
            <w:tcW w:w="844" w:type="dxa"/>
            <w:tcBorders>
              <w:top w:val="nil"/>
              <w:left w:val="nil"/>
              <w:bottom w:val="nil"/>
              <w:right w:val="nil"/>
            </w:tcBorders>
            <w:shd w:val="clear" w:color="auto" w:fill="auto"/>
            <w:noWrap/>
            <w:vAlign w:val="center"/>
            <w:hideMark/>
          </w:tcPr>
          <w:p w14:paraId="196987C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(0.18)</w:t>
            </w:r>
          </w:p>
        </w:tc>
        <w:tc>
          <w:tcPr>
            <w:tcW w:w="845" w:type="dxa"/>
            <w:tcBorders>
              <w:top w:val="nil"/>
              <w:left w:val="nil"/>
              <w:bottom w:val="nil"/>
              <w:right w:val="nil"/>
            </w:tcBorders>
            <w:shd w:val="clear" w:color="auto" w:fill="auto"/>
            <w:noWrap/>
            <w:vAlign w:val="center"/>
            <w:hideMark/>
          </w:tcPr>
          <w:p w14:paraId="008AF7C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(0.98)</w:t>
            </w:r>
          </w:p>
        </w:tc>
        <w:tc>
          <w:tcPr>
            <w:tcW w:w="844" w:type="dxa"/>
            <w:tcBorders>
              <w:top w:val="nil"/>
              <w:left w:val="nil"/>
              <w:bottom w:val="nil"/>
              <w:right w:val="nil"/>
            </w:tcBorders>
            <w:shd w:val="clear" w:color="auto" w:fill="auto"/>
            <w:noWrap/>
            <w:vAlign w:val="center"/>
            <w:hideMark/>
          </w:tcPr>
          <w:p w14:paraId="6E51156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(1.07)</w:t>
            </w:r>
          </w:p>
        </w:tc>
        <w:tc>
          <w:tcPr>
            <w:tcW w:w="864" w:type="dxa"/>
            <w:tcBorders>
              <w:top w:val="nil"/>
              <w:left w:val="nil"/>
              <w:bottom w:val="nil"/>
              <w:right w:val="nil"/>
            </w:tcBorders>
            <w:shd w:val="clear" w:color="auto" w:fill="auto"/>
            <w:noWrap/>
            <w:vAlign w:val="center"/>
            <w:hideMark/>
          </w:tcPr>
          <w:p w14:paraId="37AF683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(-0.14)</w:t>
            </w:r>
          </w:p>
        </w:tc>
        <w:tc>
          <w:tcPr>
            <w:tcW w:w="844" w:type="dxa"/>
            <w:tcBorders>
              <w:top w:val="nil"/>
              <w:left w:val="nil"/>
              <w:bottom w:val="nil"/>
              <w:right w:val="nil"/>
            </w:tcBorders>
            <w:shd w:val="clear" w:color="auto" w:fill="auto"/>
            <w:noWrap/>
            <w:vAlign w:val="center"/>
            <w:hideMark/>
          </w:tcPr>
          <w:p w14:paraId="5F3DC9C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(1.50)</w:t>
            </w:r>
          </w:p>
        </w:tc>
        <w:tc>
          <w:tcPr>
            <w:tcW w:w="844" w:type="dxa"/>
            <w:tcBorders>
              <w:top w:val="nil"/>
              <w:left w:val="nil"/>
              <w:bottom w:val="nil"/>
              <w:right w:val="nil"/>
            </w:tcBorders>
            <w:shd w:val="clear" w:color="auto" w:fill="auto"/>
            <w:noWrap/>
            <w:vAlign w:val="center"/>
            <w:hideMark/>
          </w:tcPr>
          <w:p w14:paraId="607332F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(-0.95)</w:t>
            </w:r>
          </w:p>
        </w:tc>
        <w:tc>
          <w:tcPr>
            <w:tcW w:w="845" w:type="dxa"/>
            <w:tcBorders>
              <w:top w:val="nil"/>
              <w:left w:val="nil"/>
              <w:bottom w:val="nil"/>
              <w:right w:val="nil"/>
            </w:tcBorders>
            <w:shd w:val="clear" w:color="auto" w:fill="auto"/>
            <w:noWrap/>
            <w:vAlign w:val="center"/>
            <w:hideMark/>
          </w:tcPr>
          <w:p w14:paraId="3E77B6E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(-0.85)</w:t>
            </w:r>
          </w:p>
        </w:tc>
        <w:tc>
          <w:tcPr>
            <w:tcW w:w="844" w:type="dxa"/>
            <w:tcBorders>
              <w:top w:val="nil"/>
              <w:left w:val="nil"/>
              <w:bottom w:val="nil"/>
              <w:right w:val="nil"/>
            </w:tcBorders>
            <w:shd w:val="clear" w:color="auto" w:fill="auto"/>
            <w:noWrap/>
            <w:vAlign w:val="center"/>
            <w:hideMark/>
          </w:tcPr>
          <w:p w14:paraId="11B08F1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(0.58)</w:t>
            </w:r>
          </w:p>
        </w:tc>
        <w:tc>
          <w:tcPr>
            <w:tcW w:w="845" w:type="dxa"/>
            <w:tcBorders>
              <w:top w:val="nil"/>
              <w:left w:val="nil"/>
              <w:bottom w:val="nil"/>
              <w:right w:val="nil"/>
            </w:tcBorders>
            <w:shd w:val="clear" w:color="auto" w:fill="auto"/>
            <w:noWrap/>
            <w:vAlign w:val="center"/>
            <w:hideMark/>
          </w:tcPr>
          <w:p w14:paraId="3D6E30A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(0.16)</w:t>
            </w:r>
          </w:p>
        </w:tc>
        <w:tc>
          <w:tcPr>
            <w:tcW w:w="844" w:type="dxa"/>
            <w:tcBorders>
              <w:top w:val="nil"/>
              <w:left w:val="nil"/>
              <w:bottom w:val="nil"/>
              <w:right w:val="nil"/>
            </w:tcBorders>
            <w:shd w:val="clear" w:color="auto" w:fill="auto"/>
            <w:noWrap/>
            <w:vAlign w:val="center"/>
            <w:hideMark/>
          </w:tcPr>
          <w:p w14:paraId="474D8BE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(1.01)</w:t>
            </w:r>
          </w:p>
        </w:tc>
        <w:tc>
          <w:tcPr>
            <w:tcW w:w="845" w:type="dxa"/>
            <w:tcBorders>
              <w:top w:val="nil"/>
              <w:left w:val="nil"/>
              <w:bottom w:val="nil"/>
              <w:right w:val="nil"/>
            </w:tcBorders>
            <w:shd w:val="clear" w:color="auto" w:fill="auto"/>
            <w:noWrap/>
            <w:vAlign w:val="center"/>
            <w:hideMark/>
          </w:tcPr>
          <w:p w14:paraId="04FDD65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(-0.23)</w:t>
            </w:r>
          </w:p>
        </w:tc>
      </w:tr>
      <w:tr w:rsidR="0089544F" w:rsidRPr="00263C50" w14:paraId="577DA482" w14:textId="77777777" w:rsidTr="005668E0">
        <w:trPr>
          <w:trHeight w:val="20"/>
        </w:trPr>
        <w:tc>
          <w:tcPr>
            <w:tcW w:w="1008" w:type="dxa"/>
            <w:tcBorders>
              <w:top w:val="nil"/>
              <w:left w:val="nil"/>
              <w:bottom w:val="nil"/>
              <w:right w:val="nil"/>
            </w:tcBorders>
            <w:shd w:val="clear" w:color="auto" w:fill="auto"/>
            <w:noWrap/>
            <w:vAlign w:val="center"/>
            <w:hideMark/>
          </w:tcPr>
          <w:p w14:paraId="4C1FCEEF"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roofErr w:type="spellStart"/>
            <w:r w:rsidRPr="00263C50">
              <w:rPr>
                <w:rFonts w:ascii="Times New Roman" w:hAnsi="Times New Roman" w:cs="Times New Roman"/>
                <w:i/>
                <w:color w:val="000000"/>
                <w:sz w:val="15"/>
                <w:szCs w:val="15"/>
              </w:rPr>
              <w:t>SoftwareFile</w:t>
            </w:r>
            <w:proofErr w:type="spellEnd"/>
          </w:p>
        </w:tc>
        <w:tc>
          <w:tcPr>
            <w:tcW w:w="844" w:type="dxa"/>
            <w:tcBorders>
              <w:top w:val="nil"/>
              <w:left w:val="nil"/>
              <w:bottom w:val="nil"/>
              <w:right w:val="nil"/>
            </w:tcBorders>
            <w:shd w:val="clear" w:color="auto" w:fill="auto"/>
            <w:noWrap/>
            <w:vAlign w:val="center"/>
            <w:hideMark/>
          </w:tcPr>
          <w:p w14:paraId="7B527A7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0.088</w:t>
            </w:r>
          </w:p>
        </w:tc>
        <w:tc>
          <w:tcPr>
            <w:tcW w:w="844" w:type="dxa"/>
            <w:tcBorders>
              <w:top w:val="nil"/>
              <w:left w:val="nil"/>
              <w:bottom w:val="nil"/>
              <w:right w:val="nil"/>
            </w:tcBorders>
            <w:shd w:val="clear" w:color="auto" w:fill="auto"/>
            <w:noWrap/>
            <w:vAlign w:val="center"/>
            <w:hideMark/>
          </w:tcPr>
          <w:p w14:paraId="2630362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0.12*</w:t>
            </w:r>
          </w:p>
        </w:tc>
        <w:tc>
          <w:tcPr>
            <w:tcW w:w="845" w:type="dxa"/>
            <w:tcBorders>
              <w:top w:val="nil"/>
              <w:left w:val="nil"/>
              <w:bottom w:val="nil"/>
              <w:right w:val="nil"/>
            </w:tcBorders>
            <w:shd w:val="clear" w:color="auto" w:fill="auto"/>
            <w:noWrap/>
            <w:vAlign w:val="center"/>
            <w:hideMark/>
          </w:tcPr>
          <w:p w14:paraId="229ABF8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0.033</w:t>
            </w:r>
          </w:p>
        </w:tc>
        <w:tc>
          <w:tcPr>
            <w:tcW w:w="844" w:type="dxa"/>
            <w:tcBorders>
              <w:top w:val="nil"/>
              <w:left w:val="nil"/>
              <w:bottom w:val="nil"/>
              <w:right w:val="nil"/>
            </w:tcBorders>
            <w:shd w:val="clear" w:color="auto" w:fill="auto"/>
            <w:noWrap/>
            <w:vAlign w:val="center"/>
            <w:hideMark/>
          </w:tcPr>
          <w:p w14:paraId="25B16DF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0.040</w:t>
            </w:r>
          </w:p>
        </w:tc>
        <w:tc>
          <w:tcPr>
            <w:tcW w:w="845" w:type="dxa"/>
            <w:tcBorders>
              <w:top w:val="nil"/>
              <w:left w:val="nil"/>
              <w:bottom w:val="nil"/>
              <w:right w:val="nil"/>
            </w:tcBorders>
            <w:shd w:val="clear" w:color="auto" w:fill="auto"/>
            <w:noWrap/>
            <w:vAlign w:val="center"/>
            <w:hideMark/>
          </w:tcPr>
          <w:p w14:paraId="22D455C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0.19**</w:t>
            </w:r>
          </w:p>
        </w:tc>
        <w:tc>
          <w:tcPr>
            <w:tcW w:w="844" w:type="dxa"/>
            <w:tcBorders>
              <w:top w:val="nil"/>
              <w:left w:val="nil"/>
              <w:bottom w:val="nil"/>
              <w:right w:val="nil"/>
            </w:tcBorders>
            <w:shd w:val="clear" w:color="auto" w:fill="auto"/>
            <w:noWrap/>
            <w:vAlign w:val="center"/>
            <w:hideMark/>
          </w:tcPr>
          <w:p w14:paraId="46EA895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0.098</w:t>
            </w:r>
          </w:p>
        </w:tc>
        <w:tc>
          <w:tcPr>
            <w:tcW w:w="864" w:type="dxa"/>
            <w:tcBorders>
              <w:top w:val="nil"/>
              <w:left w:val="nil"/>
              <w:bottom w:val="nil"/>
              <w:right w:val="nil"/>
            </w:tcBorders>
            <w:shd w:val="clear" w:color="auto" w:fill="auto"/>
            <w:noWrap/>
            <w:vAlign w:val="center"/>
            <w:hideMark/>
          </w:tcPr>
          <w:p w14:paraId="2EA4436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0.060</w:t>
            </w:r>
          </w:p>
        </w:tc>
        <w:tc>
          <w:tcPr>
            <w:tcW w:w="844" w:type="dxa"/>
            <w:tcBorders>
              <w:top w:val="nil"/>
              <w:left w:val="nil"/>
              <w:bottom w:val="nil"/>
              <w:right w:val="nil"/>
            </w:tcBorders>
            <w:shd w:val="clear" w:color="auto" w:fill="auto"/>
            <w:noWrap/>
            <w:vAlign w:val="center"/>
            <w:hideMark/>
          </w:tcPr>
          <w:p w14:paraId="6EBA63A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-0.0046</w:t>
            </w:r>
          </w:p>
        </w:tc>
        <w:tc>
          <w:tcPr>
            <w:tcW w:w="844" w:type="dxa"/>
            <w:tcBorders>
              <w:top w:val="nil"/>
              <w:left w:val="nil"/>
              <w:bottom w:val="nil"/>
              <w:right w:val="nil"/>
            </w:tcBorders>
            <w:shd w:val="clear" w:color="auto" w:fill="auto"/>
            <w:noWrap/>
            <w:vAlign w:val="center"/>
            <w:hideMark/>
          </w:tcPr>
          <w:p w14:paraId="7F8D5E4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-0.092</w:t>
            </w:r>
          </w:p>
        </w:tc>
        <w:tc>
          <w:tcPr>
            <w:tcW w:w="845" w:type="dxa"/>
            <w:tcBorders>
              <w:top w:val="nil"/>
              <w:left w:val="nil"/>
              <w:bottom w:val="nil"/>
              <w:right w:val="nil"/>
            </w:tcBorders>
            <w:shd w:val="clear" w:color="auto" w:fill="auto"/>
            <w:noWrap/>
            <w:vAlign w:val="center"/>
            <w:hideMark/>
          </w:tcPr>
          <w:p w14:paraId="6D66793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-0.044</w:t>
            </w:r>
          </w:p>
        </w:tc>
        <w:tc>
          <w:tcPr>
            <w:tcW w:w="844" w:type="dxa"/>
            <w:tcBorders>
              <w:top w:val="nil"/>
              <w:left w:val="nil"/>
              <w:bottom w:val="nil"/>
              <w:right w:val="nil"/>
            </w:tcBorders>
            <w:shd w:val="clear" w:color="auto" w:fill="auto"/>
            <w:noWrap/>
            <w:vAlign w:val="center"/>
            <w:hideMark/>
          </w:tcPr>
          <w:p w14:paraId="0F4558C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0.083</w:t>
            </w:r>
          </w:p>
        </w:tc>
        <w:tc>
          <w:tcPr>
            <w:tcW w:w="845" w:type="dxa"/>
            <w:tcBorders>
              <w:top w:val="nil"/>
              <w:left w:val="nil"/>
              <w:bottom w:val="nil"/>
              <w:right w:val="nil"/>
            </w:tcBorders>
            <w:shd w:val="clear" w:color="auto" w:fill="auto"/>
            <w:noWrap/>
            <w:vAlign w:val="center"/>
            <w:hideMark/>
          </w:tcPr>
          <w:p w14:paraId="726C62E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0.28***</w:t>
            </w:r>
          </w:p>
        </w:tc>
        <w:tc>
          <w:tcPr>
            <w:tcW w:w="844" w:type="dxa"/>
            <w:tcBorders>
              <w:top w:val="nil"/>
              <w:left w:val="nil"/>
              <w:bottom w:val="nil"/>
              <w:right w:val="nil"/>
            </w:tcBorders>
            <w:shd w:val="clear" w:color="auto" w:fill="auto"/>
            <w:noWrap/>
            <w:vAlign w:val="center"/>
            <w:hideMark/>
          </w:tcPr>
          <w:p w14:paraId="431AF4C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0.072</w:t>
            </w:r>
          </w:p>
        </w:tc>
        <w:tc>
          <w:tcPr>
            <w:tcW w:w="845" w:type="dxa"/>
            <w:tcBorders>
              <w:top w:val="nil"/>
              <w:left w:val="nil"/>
              <w:bottom w:val="nil"/>
              <w:right w:val="nil"/>
            </w:tcBorders>
            <w:shd w:val="clear" w:color="auto" w:fill="auto"/>
            <w:noWrap/>
            <w:vAlign w:val="center"/>
            <w:hideMark/>
          </w:tcPr>
          <w:p w14:paraId="7C2CA33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0.058</w:t>
            </w:r>
          </w:p>
        </w:tc>
      </w:tr>
      <w:tr w:rsidR="0089544F" w:rsidRPr="00263C50" w14:paraId="078E4688" w14:textId="77777777" w:rsidTr="005668E0">
        <w:trPr>
          <w:trHeight w:val="20"/>
        </w:trPr>
        <w:tc>
          <w:tcPr>
            <w:tcW w:w="1008" w:type="dxa"/>
            <w:tcBorders>
              <w:top w:val="nil"/>
              <w:left w:val="nil"/>
              <w:bottom w:val="nil"/>
              <w:right w:val="nil"/>
            </w:tcBorders>
            <w:shd w:val="clear" w:color="auto" w:fill="auto"/>
            <w:noWrap/>
            <w:vAlign w:val="center"/>
            <w:hideMark/>
          </w:tcPr>
          <w:p w14:paraId="0A1CE612"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
        </w:tc>
        <w:tc>
          <w:tcPr>
            <w:tcW w:w="844" w:type="dxa"/>
            <w:tcBorders>
              <w:top w:val="nil"/>
              <w:left w:val="nil"/>
              <w:bottom w:val="nil"/>
              <w:right w:val="nil"/>
            </w:tcBorders>
            <w:shd w:val="clear" w:color="auto" w:fill="auto"/>
            <w:noWrap/>
            <w:vAlign w:val="center"/>
            <w:hideMark/>
          </w:tcPr>
          <w:p w14:paraId="11B3080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(0.91)</w:t>
            </w:r>
          </w:p>
        </w:tc>
        <w:tc>
          <w:tcPr>
            <w:tcW w:w="844" w:type="dxa"/>
            <w:tcBorders>
              <w:top w:val="nil"/>
              <w:left w:val="nil"/>
              <w:bottom w:val="nil"/>
              <w:right w:val="nil"/>
            </w:tcBorders>
            <w:shd w:val="clear" w:color="auto" w:fill="auto"/>
            <w:noWrap/>
            <w:vAlign w:val="center"/>
            <w:hideMark/>
          </w:tcPr>
          <w:p w14:paraId="1C478C9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(1.71)</w:t>
            </w:r>
          </w:p>
        </w:tc>
        <w:tc>
          <w:tcPr>
            <w:tcW w:w="845" w:type="dxa"/>
            <w:tcBorders>
              <w:top w:val="nil"/>
              <w:left w:val="nil"/>
              <w:bottom w:val="nil"/>
              <w:right w:val="nil"/>
            </w:tcBorders>
            <w:shd w:val="clear" w:color="auto" w:fill="auto"/>
            <w:noWrap/>
            <w:vAlign w:val="center"/>
            <w:hideMark/>
          </w:tcPr>
          <w:p w14:paraId="7FE988D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(0.36)</w:t>
            </w:r>
          </w:p>
        </w:tc>
        <w:tc>
          <w:tcPr>
            <w:tcW w:w="844" w:type="dxa"/>
            <w:tcBorders>
              <w:top w:val="nil"/>
              <w:left w:val="nil"/>
              <w:bottom w:val="nil"/>
              <w:right w:val="nil"/>
            </w:tcBorders>
            <w:shd w:val="clear" w:color="auto" w:fill="auto"/>
            <w:noWrap/>
            <w:vAlign w:val="center"/>
            <w:hideMark/>
          </w:tcPr>
          <w:p w14:paraId="3D32C5D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(0.41)</w:t>
            </w:r>
          </w:p>
        </w:tc>
        <w:tc>
          <w:tcPr>
            <w:tcW w:w="845" w:type="dxa"/>
            <w:tcBorders>
              <w:top w:val="nil"/>
              <w:left w:val="nil"/>
              <w:bottom w:val="nil"/>
              <w:right w:val="nil"/>
            </w:tcBorders>
            <w:shd w:val="clear" w:color="auto" w:fill="auto"/>
            <w:noWrap/>
            <w:vAlign w:val="center"/>
            <w:hideMark/>
          </w:tcPr>
          <w:p w14:paraId="5FDBC18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(2.39)</w:t>
            </w:r>
          </w:p>
        </w:tc>
        <w:tc>
          <w:tcPr>
            <w:tcW w:w="844" w:type="dxa"/>
            <w:tcBorders>
              <w:top w:val="nil"/>
              <w:left w:val="nil"/>
              <w:bottom w:val="nil"/>
              <w:right w:val="nil"/>
            </w:tcBorders>
            <w:shd w:val="clear" w:color="auto" w:fill="auto"/>
            <w:noWrap/>
            <w:vAlign w:val="center"/>
            <w:hideMark/>
          </w:tcPr>
          <w:p w14:paraId="0C9D749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(1.11)</w:t>
            </w:r>
          </w:p>
        </w:tc>
        <w:tc>
          <w:tcPr>
            <w:tcW w:w="864" w:type="dxa"/>
            <w:tcBorders>
              <w:top w:val="nil"/>
              <w:left w:val="nil"/>
              <w:bottom w:val="nil"/>
              <w:right w:val="nil"/>
            </w:tcBorders>
            <w:shd w:val="clear" w:color="auto" w:fill="auto"/>
            <w:noWrap/>
            <w:vAlign w:val="center"/>
            <w:hideMark/>
          </w:tcPr>
          <w:p w14:paraId="0F8EEFC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(0.95)</w:t>
            </w:r>
          </w:p>
        </w:tc>
        <w:tc>
          <w:tcPr>
            <w:tcW w:w="844" w:type="dxa"/>
            <w:tcBorders>
              <w:top w:val="nil"/>
              <w:left w:val="nil"/>
              <w:bottom w:val="nil"/>
              <w:right w:val="nil"/>
            </w:tcBorders>
            <w:shd w:val="clear" w:color="auto" w:fill="auto"/>
            <w:noWrap/>
            <w:vAlign w:val="center"/>
            <w:hideMark/>
          </w:tcPr>
          <w:p w14:paraId="7991186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(-0.053)</w:t>
            </w:r>
          </w:p>
        </w:tc>
        <w:tc>
          <w:tcPr>
            <w:tcW w:w="844" w:type="dxa"/>
            <w:tcBorders>
              <w:top w:val="nil"/>
              <w:left w:val="nil"/>
              <w:bottom w:val="nil"/>
              <w:right w:val="nil"/>
            </w:tcBorders>
            <w:shd w:val="clear" w:color="auto" w:fill="auto"/>
            <w:noWrap/>
            <w:vAlign w:val="center"/>
            <w:hideMark/>
          </w:tcPr>
          <w:p w14:paraId="4E621E5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(-0.94)</w:t>
            </w:r>
          </w:p>
        </w:tc>
        <w:tc>
          <w:tcPr>
            <w:tcW w:w="845" w:type="dxa"/>
            <w:tcBorders>
              <w:top w:val="nil"/>
              <w:left w:val="nil"/>
              <w:bottom w:val="nil"/>
              <w:right w:val="nil"/>
            </w:tcBorders>
            <w:shd w:val="clear" w:color="auto" w:fill="auto"/>
            <w:noWrap/>
            <w:vAlign w:val="center"/>
            <w:hideMark/>
          </w:tcPr>
          <w:p w14:paraId="2532608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(-0.47)</w:t>
            </w:r>
          </w:p>
        </w:tc>
        <w:tc>
          <w:tcPr>
            <w:tcW w:w="844" w:type="dxa"/>
            <w:tcBorders>
              <w:top w:val="nil"/>
              <w:left w:val="nil"/>
              <w:bottom w:val="nil"/>
              <w:right w:val="nil"/>
            </w:tcBorders>
            <w:shd w:val="clear" w:color="auto" w:fill="auto"/>
            <w:noWrap/>
            <w:vAlign w:val="center"/>
            <w:hideMark/>
          </w:tcPr>
          <w:p w14:paraId="18AEA12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(0.97)</w:t>
            </w:r>
          </w:p>
        </w:tc>
        <w:tc>
          <w:tcPr>
            <w:tcW w:w="845" w:type="dxa"/>
            <w:tcBorders>
              <w:top w:val="nil"/>
              <w:left w:val="nil"/>
              <w:bottom w:val="nil"/>
              <w:right w:val="nil"/>
            </w:tcBorders>
            <w:shd w:val="clear" w:color="auto" w:fill="auto"/>
            <w:noWrap/>
            <w:vAlign w:val="center"/>
            <w:hideMark/>
          </w:tcPr>
          <w:p w14:paraId="7E68CA7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(2.67)</w:t>
            </w:r>
          </w:p>
        </w:tc>
        <w:tc>
          <w:tcPr>
            <w:tcW w:w="844" w:type="dxa"/>
            <w:tcBorders>
              <w:top w:val="nil"/>
              <w:left w:val="nil"/>
              <w:bottom w:val="nil"/>
              <w:right w:val="nil"/>
            </w:tcBorders>
            <w:shd w:val="clear" w:color="auto" w:fill="auto"/>
            <w:noWrap/>
            <w:vAlign w:val="center"/>
            <w:hideMark/>
          </w:tcPr>
          <w:p w14:paraId="152B9EF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(0.73)</w:t>
            </w:r>
          </w:p>
        </w:tc>
        <w:tc>
          <w:tcPr>
            <w:tcW w:w="845" w:type="dxa"/>
            <w:tcBorders>
              <w:top w:val="nil"/>
              <w:left w:val="nil"/>
              <w:bottom w:val="nil"/>
              <w:right w:val="nil"/>
            </w:tcBorders>
            <w:shd w:val="clear" w:color="auto" w:fill="auto"/>
            <w:noWrap/>
            <w:vAlign w:val="center"/>
            <w:hideMark/>
          </w:tcPr>
          <w:p w14:paraId="457DD62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(0.54)</w:t>
            </w:r>
          </w:p>
        </w:tc>
      </w:tr>
      <w:tr w:rsidR="0089544F" w:rsidRPr="00263C50" w14:paraId="63076336" w14:textId="77777777" w:rsidTr="005668E0">
        <w:trPr>
          <w:trHeight w:val="20"/>
        </w:trPr>
        <w:tc>
          <w:tcPr>
            <w:tcW w:w="1008" w:type="dxa"/>
            <w:tcBorders>
              <w:top w:val="nil"/>
              <w:left w:val="nil"/>
              <w:bottom w:val="nil"/>
              <w:right w:val="nil"/>
            </w:tcBorders>
            <w:shd w:val="clear" w:color="auto" w:fill="auto"/>
            <w:noWrap/>
            <w:vAlign w:val="center"/>
            <w:hideMark/>
          </w:tcPr>
          <w:p w14:paraId="78347C23"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roofErr w:type="spellStart"/>
            <w:r w:rsidRPr="00263C50">
              <w:rPr>
                <w:rFonts w:ascii="Times New Roman" w:hAnsi="Times New Roman" w:cs="Times New Roman"/>
                <w:i/>
                <w:color w:val="000000"/>
                <w:sz w:val="15"/>
                <w:szCs w:val="15"/>
              </w:rPr>
              <w:t>ProfFile</w:t>
            </w:r>
            <w:proofErr w:type="spellEnd"/>
          </w:p>
        </w:tc>
        <w:tc>
          <w:tcPr>
            <w:tcW w:w="844" w:type="dxa"/>
            <w:tcBorders>
              <w:top w:val="nil"/>
              <w:left w:val="nil"/>
              <w:bottom w:val="nil"/>
              <w:right w:val="nil"/>
            </w:tcBorders>
            <w:shd w:val="clear" w:color="auto" w:fill="auto"/>
            <w:noWrap/>
            <w:vAlign w:val="center"/>
            <w:hideMark/>
          </w:tcPr>
          <w:p w14:paraId="108B356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0.048</w:t>
            </w:r>
          </w:p>
        </w:tc>
        <w:tc>
          <w:tcPr>
            <w:tcW w:w="844" w:type="dxa"/>
            <w:tcBorders>
              <w:top w:val="nil"/>
              <w:left w:val="nil"/>
              <w:bottom w:val="nil"/>
              <w:right w:val="nil"/>
            </w:tcBorders>
            <w:shd w:val="clear" w:color="auto" w:fill="auto"/>
            <w:noWrap/>
            <w:vAlign w:val="center"/>
            <w:hideMark/>
          </w:tcPr>
          <w:p w14:paraId="478CF02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0.059</w:t>
            </w:r>
          </w:p>
        </w:tc>
        <w:tc>
          <w:tcPr>
            <w:tcW w:w="845" w:type="dxa"/>
            <w:tcBorders>
              <w:top w:val="nil"/>
              <w:left w:val="nil"/>
              <w:bottom w:val="nil"/>
              <w:right w:val="nil"/>
            </w:tcBorders>
            <w:shd w:val="clear" w:color="auto" w:fill="auto"/>
            <w:noWrap/>
            <w:vAlign w:val="center"/>
            <w:hideMark/>
          </w:tcPr>
          <w:p w14:paraId="04E627C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-0.018</w:t>
            </w:r>
          </w:p>
        </w:tc>
        <w:tc>
          <w:tcPr>
            <w:tcW w:w="844" w:type="dxa"/>
            <w:tcBorders>
              <w:top w:val="nil"/>
              <w:left w:val="nil"/>
              <w:bottom w:val="nil"/>
              <w:right w:val="nil"/>
            </w:tcBorders>
            <w:shd w:val="clear" w:color="auto" w:fill="auto"/>
            <w:noWrap/>
            <w:vAlign w:val="center"/>
            <w:hideMark/>
          </w:tcPr>
          <w:p w14:paraId="0C90600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-0.010</w:t>
            </w:r>
          </w:p>
        </w:tc>
        <w:tc>
          <w:tcPr>
            <w:tcW w:w="845" w:type="dxa"/>
            <w:tcBorders>
              <w:top w:val="nil"/>
              <w:left w:val="nil"/>
              <w:bottom w:val="nil"/>
              <w:right w:val="nil"/>
            </w:tcBorders>
            <w:shd w:val="clear" w:color="auto" w:fill="auto"/>
            <w:noWrap/>
            <w:vAlign w:val="center"/>
            <w:hideMark/>
          </w:tcPr>
          <w:p w14:paraId="19BF92A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-0.00073</w:t>
            </w:r>
          </w:p>
        </w:tc>
        <w:tc>
          <w:tcPr>
            <w:tcW w:w="844" w:type="dxa"/>
            <w:tcBorders>
              <w:top w:val="nil"/>
              <w:left w:val="nil"/>
              <w:bottom w:val="nil"/>
              <w:right w:val="nil"/>
            </w:tcBorders>
            <w:shd w:val="clear" w:color="auto" w:fill="auto"/>
            <w:noWrap/>
            <w:vAlign w:val="center"/>
            <w:hideMark/>
          </w:tcPr>
          <w:p w14:paraId="6569E26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0.049</w:t>
            </w:r>
          </w:p>
        </w:tc>
        <w:tc>
          <w:tcPr>
            <w:tcW w:w="864" w:type="dxa"/>
            <w:tcBorders>
              <w:top w:val="nil"/>
              <w:left w:val="nil"/>
              <w:bottom w:val="nil"/>
              <w:right w:val="nil"/>
            </w:tcBorders>
            <w:shd w:val="clear" w:color="auto" w:fill="auto"/>
            <w:noWrap/>
            <w:vAlign w:val="center"/>
            <w:hideMark/>
          </w:tcPr>
          <w:p w14:paraId="2A1FDCD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0.062</w:t>
            </w:r>
          </w:p>
        </w:tc>
        <w:tc>
          <w:tcPr>
            <w:tcW w:w="844" w:type="dxa"/>
            <w:tcBorders>
              <w:top w:val="nil"/>
              <w:left w:val="nil"/>
              <w:bottom w:val="nil"/>
              <w:right w:val="nil"/>
            </w:tcBorders>
            <w:shd w:val="clear" w:color="auto" w:fill="auto"/>
            <w:noWrap/>
            <w:vAlign w:val="center"/>
            <w:hideMark/>
          </w:tcPr>
          <w:p w14:paraId="2368FAC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0.059</w:t>
            </w:r>
          </w:p>
        </w:tc>
        <w:tc>
          <w:tcPr>
            <w:tcW w:w="844" w:type="dxa"/>
            <w:tcBorders>
              <w:top w:val="nil"/>
              <w:left w:val="nil"/>
              <w:bottom w:val="nil"/>
              <w:right w:val="nil"/>
            </w:tcBorders>
            <w:shd w:val="clear" w:color="auto" w:fill="auto"/>
            <w:noWrap/>
            <w:vAlign w:val="center"/>
            <w:hideMark/>
          </w:tcPr>
          <w:p w14:paraId="0D688A3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0.18*</w:t>
            </w:r>
          </w:p>
        </w:tc>
        <w:tc>
          <w:tcPr>
            <w:tcW w:w="845" w:type="dxa"/>
            <w:tcBorders>
              <w:top w:val="nil"/>
              <w:left w:val="nil"/>
              <w:bottom w:val="nil"/>
              <w:right w:val="nil"/>
            </w:tcBorders>
            <w:shd w:val="clear" w:color="auto" w:fill="auto"/>
            <w:noWrap/>
            <w:vAlign w:val="center"/>
            <w:hideMark/>
          </w:tcPr>
          <w:p w14:paraId="7E8C34F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0.054</w:t>
            </w:r>
          </w:p>
        </w:tc>
        <w:tc>
          <w:tcPr>
            <w:tcW w:w="844" w:type="dxa"/>
            <w:tcBorders>
              <w:top w:val="nil"/>
              <w:left w:val="nil"/>
              <w:bottom w:val="nil"/>
              <w:right w:val="nil"/>
            </w:tcBorders>
            <w:shd w:val="clear" w:color="auto" w:fill="auto"/>
            <w:noWrap/>
            <w:vAlign w:val="center"/>
            <w:hideMark/>
          </w:tcPr>
          <w:p w14:paraId="63D94D7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0.015</w:t>
            </w:r>
          </w:p>
        </w:tc>
        <w:tc>
          <w:tcPr>
            <w:tcW w:w="845" w:type="dxa"/>
            <w:tcBorders>
              <w:top w:val="nil"/>
              <w:left w:val="nil"/>
              <w:bottom w:val="nil"/>
              <w:right w:val="nil"/>
            </w:tcBorders>
            <w:shd w:val="clear" w:color="auto" w:fill="auto"/>
            <w:noWrap/>
            <w:vAlign w:val="center"/>
            <w:hideMark/>
          </w:tcPr>
          <w:p w14:paraId="227D7E6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0.059</w:t>
            </w:r>
          </w:p>
        </w:tc>
        <w:tc>
          <w:tcPr>
            <w:tcW w:w="844" w:type="dxa"/>
            <w:tcBorders>
              <w:top w:val="nil"/>
              <w:left w:val="nil"/>
              <w:bottom w:val="nil"/>
              <w:right w:val="nil"/>
            </w:tcBorders>
            <w:shd w:val="clear" w:color="auto" w:fill="auto"/>
            <w:noWrap/>
            <w:vAlign w:val="center"/>
            <w:hideMark/>
          </w:tcPr>
          <w:p w14:paraId="4367541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-0.14</w:t>
            </w:r>
          </w:p>
        </w:tc>
        <w:tc>
          <w:tcPr>
            <w:tcW w:w="845" w:type="dxa"/>
            <w:tcBorders>
              <w:top w:val="nil"/>
              <w:left w:val="nil"/>
              <w:bottom w:val="nil"/>
              <w:right w:val="nil"/>
            </w:tcBorders>
            <w:shd w:val="clear" w:color="auto" w:fill="auto"/>
            <w:noWrap/>
            <w:vAlign w:val="center"/>
            <w:hideMark/>
          </w:tcPr>
          <w:p w14:paraId="6E12D1C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-0.050</w:t>
            </w:r>
          </w:p>
        </w:tc>
      </w:tr>
      <w:tr w:rsidR="0089544F" w:rsidRPr="00263C50" w14:paraId="478D41A0" w14:textId="77777777" w:rsidTr="005668E0">
        <w:trPr>
          <w:trHeight w:val="20"/>
        </w:trPr>
        <w:tc>
          <w:tcPr>
            <w:tcW w:w="1008" w:type="dxa"/>
            <w:tcBorders>
              <w:top w:val="nil"/>
              <w:left w:val="nil"/>
              <w:bottom w:val="nil"/>
              <w:right w:val="nil"/>
            </w:tcBorders>
            <w:shd w:val="clear" w:color="auto" w:fill="auto"/>
            <w:noWrap/>
            <w:vAlign w:val="center"/>
            <w:hideMark/>
          </w:tcPr>
          <w:p w14:paraId="2D76023C"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
        </w:tc>
        <w:tc>
          <w:tcPr>
            <w:tcW w:w="844" w:type="dxa"/>
            <w:tcBorders>
              <w:top w:val="nil"/>
              <w:left w:val="nil"/>
              <w:bottom w:val="nil"/>
              <w:right w:val="nil"/>
            </w:tcBorders>
            <w:shd w:val="clear" w:color="auto" w:fill="auto"/>
            <w:noWrap/>
            <w:vAlign w:val="center"/>
            <w:hideMark/>
          </w:tcPr>
          <w:p w14:paraId="234075B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(0.46)</w:t>
            </w:r>
          </w:p>
        </w:tc>
        <w:tc>
          <w:tcPr>
            <w:tcW w:w="844" w:type="dxa"/>
            <w:tcBorders>
              <w:top w:val="nil"/>
              <w:left w:val="nil"/>
              <w:bottom w:val="nil"/>
              <w:right w:val="nil"/>
            </w:tcBorders>
            <w:shd w:val="clear" w:color="auto" w:fill="auto"/>
            <w:noWrap/>
            <w:vAlign w:val="center"/>
            <w:hideMark/>
          </w:tcPr>
          <w:p w14:paraId="7AEFBC1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(0.77)</w:t>
            </w:r>
          </w:p>
        </w:tc>
        <w:tc>
          <w:tcPr>
            <w:tcW w:w="845" w:type="dxa"/>
            <w:tcBorders>
              <w:top w:val="nil"/>
              <w:left w:val="nil"/>
              <w:bottom w:val="nil"/>
              <w:right w:val="nil"/>
            </w:tcBorders>
            <w:shd w:val="clear" w:color="auto" w:fill="auto"/>
            <w:noWrap/>
            <w:vAlign w:val="center"/>
            <w:hideMark/>
          </w:tcPr>
          <w:p w14:paraId="5A10F3A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(-0.16)</w:t>
            </w:r>
          </w:p>
        </w:tc>
        <w:tc>
          <w:tcPr>
            <w:tcW w:w="844" w:type="dxa"/>
            <w:tcBorders>
              <w:top w:val="nil"/>
              <w:left w:val="nil"/>
              <w:bottom w:val="nil"/>
              <w:right w:val="nil"/>
            </w:tcBorders>
            <w:shd w:val="clear" w:color="auto" w:fill="auto"/>
            <w:noWrap/>
            <w:vAlign w:val="center"/>
            <w:hideMark/>
          </w:tcPr>
          <w:p w14:paraId="575F902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(-0.11)</w:t>
            </w:r>
          </w:p>
        </w:tc>
        <w:tc>
          <w:tcPr>
            <w:tcW w:w="845" w:type="dxa"/>
            <w:tcBorders>
              <w:top w:val="nil"/>
              <w:left w:val="nil"/>
              <w:bottom w:val="nil"/>
              <w:right w:val="nil"/>
            </w:tcBorders>
            <w:shd w:val="clear" w:color="auto" w:fill="auto"/>
            <w:noWrap/>
            <w:vAlign w:val="center"/>
            <w:hideMark/>
          </w:tcPr>
          <w:p w14:paraId="0829FD2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(-0.0081)</w:t>
            </w:r>
          </w:p>
        </w:tc>
        <w:tc>
          <w:tcPr>
            <w:tcW w:w="844" w:type="dxa"/>
            <w:tcBorders>
              <w:top w:val="nil"/>
              <w:left w:val="nil"/>
              <w:bottom w:val="nil"/>
              <w:right w:val="nil"/>
            </w:tcBorders>
            <w:shd w:val="clear" w:color="auto" w:fill="auto"/>
            <w:noWrap/>
            <w:vAlign w:val="center"/>
            <w:hideMark/>
          </w:tcPr>
          <w:p w14:paraId="4DE100C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(0.49)</w:t>
            </w:r>
          </w:p>
        </w:tc>
        <w:tc>
          <w:tcPr>
            <w:tcW w:w="864" w:type="dxa"/>
            <w:tcBorders>
              <w:top w:val="nil"/>
              <w:left w:val="nil"/>
              <w:bottom w:val="nil"/>
              <w:right w:val="nil"/>
            </w:tcBorders>
            <w:shd w:val="clear" w:color="auto" w:fill="auto"/>
            <w:noWrap/>
            <w:vAlign w:val="center"/>
            <w:hideMark/>
          </w:tcPr>
          <w:p w14:paraId="4BE8B78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(0.84)</w:t>
            </w:r>
          </w:p>
        </w:tc>
        <w:tc>
          <w:tcPr>
            <w:tcW w:w="844" w:type="dxa"/>
            <w:tcBorders>
              <w:top w:val="nil"/>
              <w:left w:val="nil"/>
              <w:bottom w:val="nil"/>
              <w:right w:val="nil"/>
            </w:tcBorders>
            <w:shd w:val="clear" w:color="auto" w:fill="auto"/>
            <w:noWrap/>
            <w:vAlign w:val="center"/>
            <w:hideMark/>
          </w:tcPr>
          <w:p w14:paraId="39D6787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(0.56)</w:t>
            </w:r>
          </w:p>
        </w:tc>
        <w:tc>
          <w:tcPr>
            <w:tcW w:w="844" w:type="dxa"/>
            <w:tcBorders>
              <w:top w:val="nil"/>
              <w:left w:val="nil"/>
              <w:bottom w:val="nil"/>
              <w:right w:val="nil"/>
            </w:tcBorders>
            <w:shd w:val="clear" w:color="auto" w:fill="auto"/>
            <w:noWrap/>
            <w:vAlign w:val="center"/>
            <w:hideMark/>
          </w:tcPr>
          <w:p w14:paraId="73D8115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(1.89)</w:t>
            </w:r>
          </w:p>
        </w:tc>
        <w:tc>
          <w:tcPr>
            <w:tcW w:w="845" w:type="dxa"/>
            <w:tcBorders>
              <w:top w:val="nil"/>
              <w:left w:val="nil"/>
              <w:bottom w:val="nil"/>
              <w:right w:val="nil"/>
            </w:tcBorders>
            <w:shd w:val="clear" w:color="auto" w:fill="auto"/>
            <w:noWrap/>
            <w:vAlign w:val="center"/>
            <w:hideMark/>
          </w:tcPr>
          <w:p w14:paraId="431E4BF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(0.52)</w:t>
            </w:r>
          </w:p>
        </w:tc>
        <w:tc>
          <w:tcPr>
            <w:tcW w:w="844" w:type="dxa"/>
            <w:tcBorders>
              <w:top w:val="nil"/>
              <w:left w:val="nil"/>
              <w:bottom w:val="nil"/>
              <w:right w:val="nil"/>
            </w:tcBorders>
            <w:shd w:val="clear" w:color="auto" w:fill="auto"/>
            <w:noWrap/>
            <w:vAlign w:val="center"/>
            <w:hideMark/>
          </w:tcPr>
          <w:p w14:paraId="7C54107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(0.15)</w:t>
            </w:r>
          </w:p>
        </w:tc>
        <w:tc>
          <w:tcPr>
            <w:tcW w:w="845" w:type="dxa"/>
            <w:tcBorders>
              <w:top w:val="nil"/>
              <w:left w:val="nil"/>
              <w:bottom w:val="nil"/>
              <w:right w:val="nil"/>
            </w:tcBorders>
            <w:shd w:val="clear" w:color="auto" w:fill="auto"/>
            <w:noWrap/>
            <w:vAlign w:val="center"/>
            <w:hideMark/>
          </w:tcPr>
          <w:p w14:paraId="4008ED7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(0.56)</w:t>
            </w:r>
          </w:p>
        </w:tc>
        <w:tc>
          <w:tcPr>
            <w:tcW w:w="844" w:type="dxa"/>
            <w:tcBorders>
              <w:top w:val="nil"/>
              <w:left w:val="nil"/>
              <w:bottom w:val="nil"/>
              <w:right w:val="nil"/>
            </w:tcBorders>
            <w:shd w:val="clear" w:color="auto" w:fill="auto"/>
            <w:noWrap/>
            <w:vAlign w:val="center"/>
            <w:hideMark/>
          </w:tcPr>
          <w:p w14:paraId="3189C8B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(-1.54)</w:t>
            </w:r>
          </w:p>
        </w:tc>
        <w:tc>
          <w:tcPr>
            <w:tcW w:w="845" w:type="dxa"/>
            <w:tcBorders>
              <w:top w:val="nil"/>
              <w:left w:val="nil"/>
              <w:bottom w:val="nil"/>
              <w:right w:val="nil"/>
            </w:tcBorders>
            <w:shd w:val="clear" w:color="auto" w:fill="auto"/>
            <w:noWrap/>
            <w:vAlign w:val="center"/>
            <w:hideMark/>
          </w:tcPr>
          <w:p w14:paraId="0DE5E4F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(-0.49)</w:t>
            </w:r>
          </w:p>
        </w:tc>
      </w:tr>
      <w:tr w:rsidR="0089544F" w:rsidRPr="00263C50" w14:paraId="752C2CE1" w14:textId="77777777" w:rsidTr="005668E0">
        <w:trPr>
          <w:trHeight w:val="20"/>
        </w:trPr>
        <w:tc>
          <w:tcPr>
            <w:tcW w:w="1008" w:type="dxa"/>
            <w:tcBorders>
              <w:top w:val="nil"/>
              <w:left w:val="nil"/>
              <w:bottom w:val="nil"/>
              <w:right w:val="nil"/>
            </w:tcBorders>
            <w:shd w:val="clear" w:color="auto" w:fill="auto"/>
            <w:noWrap/>
            <w:vAlign w:val="center"/>
            <w:hideMark/>
          </w:tcPr>
          <w:p w14:paraId="111B80ED"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roofErr w:type="spellStart"/>
            <w:r w:rsidRPr="00263C50">
              <w:rPr>
                <w:rFonts w:ascii="Times New Roman" w:hAnsi="Times New Roman" w:cs="Times New Roman"/>
                <w:i/>
                <w:color w:val="000000"/>
                <w:sz w:val="15"/>
                <w:szCs w:val="15"/>
              </w:rPr>
              <w:t>ParentFile</w:t>
            </w:r>
            <w:proofErr w:type="spellEnd"/>
          </w:p>
        </w:tc>
        <w:tc>
          <w:tcPr>
            <w:tcW w:w="844" w:type="dxa"/>
            <w:tcBorders>
              <w:top w:val="nil"/>
              <w:left w:val="nil"/>
              <w:bottom w:val="nil"/>
              <w:right w:val="nil"/>
            </w:tcBorders>
            <w:shd w:val="clear" w:color="auto" w:fill="auto"/>
            <w:noWrap/>
            <w:vAlign w:val="center"/>
            <w:hideMark/>
          </w:tcPr>
          <w:p w14:paraId="672DC9D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0.12</w:t>
            </w:r>
          </w:p>
        </w:tc>
        <w:tc>
          <w:tcPr>
            <w:tcW w:w="844" w:type="dxa"/>
            <w:tcBorders>
              <w:top w:val="nil"/>
              <w:left w:val="nil"/>
              <w:bottom w:val="nil"/>
              <w:right w:val="nil"/>
            </w:tcBorders>
            <w:shd w:val="clear" w:color="auto" w:fill="auto"/>
            <w:noWrap/>
            <w:vAlign w:val="center"/>
            <w:hideMark/>
          </w:tcPr>
          <w:p w14:paraId="62A5B48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0.0035</w:t>
            </w:r>
          </w:p>
        </w:tc>
        <w:tc>
          <w:tcPr>
            <w:tcW w:w="845" w:type="dxa"/>
            <w:tcBorders>
              <w:top w:val="nil"/>
              <w:left w:val="nil"/>
              <w:bottom w:val="nil"/>
              <w:right w:val="nil"/>
            </w:tcBorders>
            <w:shd w:val="clear" w:color="auto" w:fill="auto"/>
            <w:noWrap/>
            <w:vAlign w:val="center"/>
            <w:hideMark/>
          </w:tcPr>
          <w:p w14:paraId="0A0B239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0.027</w:t>
            </w:r>
          </w:p>
        </w:tc>
        <w:tc>
          <w:tcPr>
            <w:tcW w:w="844" w:type="dxa"/>
            <w:tcBorders>
              <w:top w:val="nil"/>
              <w:left w:val="nil"/>
              <w:bottom w:val="nil"/>
              <w:right w:val="nil"/>
            </w:tcBorders>
            <w:shd w:val="clear" w:color="auto" w:fill="auto"/>
            <w:noWrap/>
            <w:vAlign w:val="center"/>
            <w:hideMark/>
          </w:tcPr>
          <w:p w14:paraId="68621AF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-0.00061</w:t>
            </w:r>
          </w:p>
        </w:tc>
        <w:tc>
          <w:tcPr>
            <w:tcW w:w="845" w:type="dxa"/>
            <w:tcBorders>
              <w:top w:val="nil"/>
              <w:left w:val="nil"/>
              <w:bottom w:val="nil"/>
              <w:right w:val="nil"/>
            </w:tcBorders>
            <w:shd w:val="clear" w:color="auto" w:fill="auto"/>
            <w:noWrap/>
            <w:vAlign w:val="center"/>
            <w:hideMark/>
          </w:tcPr>
          <w:p w14:paraId="16B098B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0.15*</w:t>
            </w:r>
          </w:p>
        </w:tc>
        <w:tc>
          <w:tcPr>
            <w:tcW w:w="844" w:type="dxa"/>
            <w:tcBorders>
              <w:top w:val="nil"/>
              <w:left w:val="nil"/>
              <w:bottom w:val="nil"/>
              <w:right w:val="nil"/>
            </w:tcBorders>
            <w:shd w:val="clear" w:color="auto" w:fill="auto"/>
            <w:noWrap/>
            <w:vAlign w:val="center"/>
            <w:hideMark/>
          </w:tcPr>
          <w:p w14:paraId="0FE0A14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0.10</w:t>
            </w:r>
          </w:p>
        </w:tc>
        <w:tc>
          <w:tcPr>
            <w:tcW w:w="864" w:type="dxa"/>
            <w:tcBorders>
              <w:top w:val="nil"/>
              <w:left w:val="nil"/>
              <w:bottom w:val="nil"/>
              <w:right w:val="nil"/>
            </w:tcBorders>
            <w:shd w:val="clear" w:color="auto" w:fill="auto"/>
            <w:noWrap/>
            <w:vAlign w:val="center"/>
            <w:hideMark/>
          </w:tcPr>
          <w:p w14:paraId="37978B4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-0.031</w:t>
            </w:r>
          </w:p>
        </w:tc>
        <w:tc>
          <w:tcPr>
            <w:tcW w:w="844" w:type="dxa"/>
            <w:tcBorders>
              <w:top w:val="nil"/>
              <w:left w:val="nil"/>
              <w:bottom w:val="nil"/>
              <w:right w:val="nil"/>
            </w:tcBorders>
            <w:shd w:val="clear" w:color="auto" w:fill="auto"/>
            <w:noWrap/>
            <w:vAlign w:val="center"/>
            <w:hideMark/>
          </w:tcPr>
          <w:p w14:paraId="4BC76AB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0.096</w:t>
            </w:r>
          </w:p>
        </w:tc>
        <w:tc>
          <w:tcPr>
            <w:tcW w:w="844" w:type="dxa"/>
            <w:tcBorders>
              <w:top w:val="nil"/>
              <w:left w:val="nil"/>
              <w:bottom w:val="nil"/>
              <w:right w:val="nil"/>
            </w:tcBorders>
            <w:shd w:val="clear" w:color="auto" w:fill="auto"/>
            <w:noWrap/>
            <w:vAlign w:val="center"/>
            <w:hideMark/>
          </w:tcPr>
          <w:p w14:paraId="3C55468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-0.043</w:t>
            </w:r>
          </w:p>
        </w:tc>
        <w:tc>
          <w:tcPr>
            <w:tcW w:w="845" w:type="dxa"/>
            <w:tcBorders>
              <w:top w:val="nil"/>
              <w:left w:val="nil"/>
              <w:bottom w:val="nil"/>
              <w:right w:val="nil"/>
            </w:tcBorders>
            <w:shd w:val="clear" w:color="auto" w:fill="auto"/>
            <w:noWrap/>
            <w:vAlign w:val="center"/>
            <w:hideMark/>
          </w:tcPr>
          <w:p w14:paraId="2E80237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-0.076</w:t>
            </w:r>
          </w:p>
        </w:tc>
        <w:tc>
          <w:tcPr>
            <w:tcW w:w="844" w:type="dxa"/>
            <w:tcBorders>
              <w:top w:val="nil"/>
              <w:left w:val="nil"/>
              <w:bottom w:val="nil"/>
              <w:right w:val="nil"/>
            </w:tcBorders>
            <w:shd w:val="clear" w:color="auto" w:fill="auto"/>
            <w:noWrap/>
            <w:vAlign w:val="center"/>
            <w:hideMark/>
          </w:tcPr>
          <w:p w14:paraId="04DCF4A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0.059</w:t>
            </w:r>
          </w:p>
        </w:tc>
        <w:tc>
          <w:tcPr>
            <w:tcW w:w="845" w:type="dxa"/>
            <w:tcBorders>
              <w:top w:val="nil"/>
              <w:left w:val="nil"/>
              <w:bottom w:val="nil"/>
              <w:right w:val="nil"/>
            </w:tcBorders>
            <w:shd w:val="clear" w:color="auto" w:fill="auto"/>
            <w:noWrap/>
            <w:vAlign w:val="center"/>
            <w:hideMark/>
          </w:tcPr>
          <w:p w14:paraId="2BA1960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0.036</w:t>
            </w:r>
          </w:p>
        </w:tc>
        <w:tc>
          <w:tcPr>
            <w:tcW w:w="844" w:type="dxa"/>
            <w:tcBorders>
              <w:top w:val="nil"/>
              <w:left w:val="nil"/>
              <w:bottom w:val="nil"/>
              <w:right w:val="nil"/>
            </w:tcBorders>
            <w:shd w:val="clear" w:color="auto" w:fill="auto"/>
            <w:noWrap/>
            <w:vAlign w:val="center"/>
            <w:hideMark/>
          </w:tcPr>
          <w:p w14:paraId="7104BC8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0.015</w:t>
            </w:r>
          </w:p>
        </w:tc>
        <w:tc>
          <w:tcPr>
            <w:tcW w:w="845" w:type="dxa"/>
            <w:tcBorders>
              <w:top w:val="nil"/>
              <w:left w:val="nil"/>
              <w:bottom w:val="nil"/>
              <w:right w:val="nil"/>
            </w:tcBorders>
            <w:shd w:val="clear" w:color="auto" w:fill="auto"/>
            <w:noWrap/>
            <w:vAlign w:val="center"/>
            <w:hideMark/>
          </w:tcPr>
          <w:p w14:paraId="5DC1F6F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-0.028</w:t>
            </w:r>
          </w:p>
        </w:tc>
      </w:tr>
      <w:tr w:rsidR="0089544F" w:rsidRPr="00263C50" w14:paraId="0BB8066B" w14:textId="77777777" w:rsidTr="005668E0">
        <w:trPr>
          <w:trHeight w:val="20"/>
        </w:trPr>
        <w:tc>
          <w:tcPr>
            <w:tcW w:w="1008" w:type="dxa"/>
            <w:tcBorders>
              <w:top w:val="nil"/>
              <w:left w:val="nil"/>
              <w:bottom w:val="nil"/>
              <w:right w:val="nil"/>
            </w:tcBorders>
            <w:shd w:val="clear" w:color="auto" w:fill="auto"/>
            <w:noWrap/>
            <w:vAlign w:val="center"/>
            <w:hideMark/>
          </w:tcPr>
          <w:p w14:paraId="3AC2BB0F"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
        </w:tc>
        <w:tc>
          <w:tcPr>
            <w:tcW w:w="844" w:type="dxa"/>
            <w:tcBorders>
              <w:top w:val="nil"/>
              <w:left w:val="nil"/>
              <w:bottom w:val="nil"/>
              <w:right w:val="nil"/>
            </w:tcBorders>
            <w:shd w:val="clear" w:color="auto" w:fill="auto"/>
            <w:noWrap/>
            <w:vAlign w:val="center"/>
            <w:hideMark/>
          </w:tcPr>
          <w:p w14:paraId="5B8F0A1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(1.25)</w:t>
            </w:r>
          </w:p>
        </w:tc>
        <w:tc>
          <w:tcPr>
            <w:tcW w:w="844" w:type="dxa"/>
            <w:tcBorders>
              <w:top w:val="nil"/>
              <w:left w:val="nil"/>
              <w:bottom w:val="nil"/>
              <w:right w:val="nil"/>
            </w:tcBorders>
            <w:shd w:val="clear" w:color="auto" w:fill="auto"/>
            <w:noWrap/>
            <w:vAlign w:val="center"/>
            <w:hideMark/>
          </w:tcPr>
          <w:p w14:paraId="1982CD7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(0.044)</w:t>
            </w:r>
          </w:p>
        </w:tc>
        <w:tc>
          <w:tcPr>
            <w:tcW w:w="845" w:type="dxa"/>
            <w:tcBorders>
              <w:top w:val="nil"/>
              <w:left w:val="nil"/>
              <w:bottom w:val="nil"/>
              <w:right w:val="nil"/>
            </w:tcBorders>
            <w:shd w:val="clear" w:color="auto" w:fill="auto"/>
            <w:noWrap/>
            <w:vAlign w:val="center"/>
            <w:hideMark/>
          </w:tcPr>
          <w:p w14:paraId="4A109E5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(0.30)</w:t>
            </w:r>
          </w:p>
        </w:tc>
        <w:tc>
          <w:tcPr>
            <w:tcW w:w="844" w:type="dxa"/>
            <w:tcBorders>
              <w:top w:val="nil"/>
              <w:left w:val="nil"/>
              <w:bottom w:val="nil"/>
              <w:right w:val="nil"/>
            </w:tcBorders>
            <w:shd w:val="clear" w:color="auto" w:fill="auto"/>
            <w:noWrap/>
            <w:vAlign w:val="center"/>
            <w:hideMark/>
          </w:tcPr>
          <w:p w14:paraId="7A97B9E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(-0.0066)</w:t>
            </w:r>
          </w:p>
        </w:tc>
        <w:tc>
          <w:tcPr>
            <w:tcW w:w="845" w:type="dxa"/>
            <w:tcBorders>
              <w:top w:val="nil"/>
              <w:left w:val="nil"/>
              <w:bottom w:val="nil"/>
              <w:right w:val="nil"/>
            </w:tcBorders>
            <w:shd w:val="clear" w:color="auto" w:fill="auto"/>
            <w:noWrap/>
            <w:vAlign w:val="center"/>
            <w:hideMark/>
          </w:tcPr>
          <w:p w14:paraId="29C409F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(1.95)</w:t>
            </w:r>
          </w:p>
        </w:tc>
        <w:tc>
          <w:tcPr>
            <w:tcW w:w="844" w:type="dxa"/>
            <w:tcBorders>
              <w:top w:val="nil"/>
              <w:left w:val="nil"/>
              <w:bottom w:val="nil"/>
              <w:right w:val="nil"/>
            </w:tcBorders>
            <w:shd w:val="clear" w:color="auto" w:fill="auto"/>
            <w:noWrap/>
            <w:vAlign w:val="center"/>
            <w:hideMark/>
          </w:tcPr>
          <w:p w14:paraId="60BF3F5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(1.30)</w:t>
            </w:r>
          </w:p>
        </w:tc>
        <w:tc>
          <w:tcPr>
            <w:tcW w:w="864" w:type="dxa"/>
            <w:tcBorders>
              <w:top w:val="nil"/>
              <w:left w:val="nil"/>
              <w:bottom w:val="nil"/>
              <w:right w:val="nil"/>
            </w:tcBorders>
            <w:shd w:val="clear" w:color="auto" w:fill="auto"/>
            <w:noWrap/>
            <w:vAlign w:val="center"/>
            <w:hideMark/>
          </w:tcPr>
          <w:p w14:paraId="23EDDB0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(-0.41)</w:t>
            </w:r>
          </w:p>
        </w:tc>
        <w:tc>
          <w:tcPr>
            <w:tcW w:w="844" w:type="dxa"/>
            <w:tcBorders>
              <w:top w:val="nil"/>
              <w:left w:val="nil"/>
              <w:bottom w:val="nil"/>
              <w:right w:val="nil"/>
            </w:tcBorders>
            <w:shd w:val="clear" w:color="auto" w:fill="auto"/>
            <w:noWrap/>
            <w:vAlign w:val="center"/>
            <w:hideMark/>
          </w:tcPr>
          <w:p w14:paraId="76F9518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(1.04)</w:t>
            </w:r>
          </w:p>
        </w:tc>
        <w:tc>
          <w:tcPr>
            <w:tcW w:w="844" w:type="dxa"/>
            <w:tcBorders>
              <w:top w:val="nil"/>
              <w:left w:val="nil"/>
              <w:bottom w:val="nil"/>
              <w:right w:val="nil"/>
            </w:tcBorders>
            <w:shd w:val="clear" w:color="auto" w:fill="auto"/>
            <w:noWrap/>
            <w:vAlign w:val="center"/>
            <w:hideMark/>
          </w:tcPr>
          <w:p w14:paraId="55B9465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(-0.50)</w:t>
            </w:r>
          </w:p>
        </w:tc>
        <w:tc>
          <w:tcPr>
            <w:tcW w:w="845" w:type="dxa"/>
            <w:tcBorders>
              <w:top w:val="nil"/>
              <w:left w:val="nil"/>
              <w:bottom w:val="nil"/>
              <w:right w:val="nil"/>
            </w:tcBorders>
            <w:shd w:val="clear" w:color="auto" w:fill="auto"/>
            <w:noWrap/>
            <w:vAlign w:val="center"/>
            <w:hideMark/>
          </w:tcPr>
          <w:p w14:paraId="3FCB539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(-0.81)</w:t>
            </w:r>
          </w:p>
        </w:tc>
        <w:tc>
          <w:tcPr>
            <w:tcW w:w="844" w:type="dxa"/>
            <w:tcBorders>
              <w:top w:val="nil"/>
              <w:left w:val="nil"/>
              <w:bottom w:val="nil"/>
              <w:right w:val="nil"/>
            </w:tcBorders>
            <w:shd w:val="clear" w:color="auto" w:fill="auto"/>
            <w:noWrap/>
            <w:vAlign w:val="center"/>
            <w:hideMark/>
          </w:tcPr>
          <w:p w14:paraId="76528A3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(0.79)</w:t>
            </w:r>
          </w:p>
        </w:tc>
        <w:tc>
          <w:tcPr>
            <w:tcW w:w="845" w:type="dxa"/>
            <w:tcBorders>
              <w:top w:val="nil"/>
              <w:left w:val="nil"/>
              <w:bottom w:val="nil"/>
              <w:right w:val="nil"/>
            </w:tcBorders>
            <w:shd w:val="clear" w:color="auto" w:fill="auto"/>
            <w:noWrap/>
            <w:vAlign w:val="center"/>
            <w:hideMark/>
          </w:tcPr>
          <w:p w14:paraId="578E43D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(0.40)</w:t>
            </w:r>
          </w:p>
        </w:tc>
        <w:tc>
          <w:tcPr>
            <w:tcW w:w="844" w:type="dxa"/>
            <w:tcBorders>
              <w:top w:val="nil"/>
              <w:left w:val="nil"/>
              <w:bottom w:val="nil"/>
              <w:right w:val="nil"/>
            </w:tcBorders>
            <w:shd w:val="clear" w:color="auto" w:fill="auto"/>
            <w:noWrap/>
            <w:vAlign w:val="center"/>
            <w:hideMark/>
          </w:tcPr>
          <w:p w14:paraId="07CC73E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(0.18)</w:t>
            </w:r>
          </w:p>
        </w:tc>
        <w:tc>
          <w:tcPr>
            <w:tcW w:w="845" w:type="dxa"/>
            <w:tcBorders>
              <w:top w:val="nil"/>
              <w:left w:val="nil"/>
              <w:bottom w:val="nil"/>
              <w:right w:val="nil"/>
            </w:tcBorders>
            <w:shd w:val="clear" w:color="auto" w:fill="auto"/>
            <w:noWrap/>
            <w:vAlign w:val="center"/>
            <w:hideMark/>
          </w:tcPr>
          <w:p w14:paraId="4988447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(-0.31)</w:t>
            </w:r>
          </w:p>
        </w:tc>
      </w:tr>
      <w:tr w:rsidR="0089544F" w:rsidRPr="00263C50" w14:paraId="1AC9753D" w14:textId="77777777" w:rsidTr="005668E0">
        <w:trPr>
          <w:trHeight w:val="20"/>
        </w:trPr>
        <w:tc>
          <w:tcPr>
            <w:tcW w:w="1008" w:type="dxa"/>
            <w:tcBorders>
              <w:top w:val="nil"/>
              <w:left w:val="nil"/>
              <w:bottom w:val="nil"/>
              <w:right w:val="nil"/>
            </w:tcBorders>
            <w:shd w:val="clear" w:color="auto" w:fill="auto"/>
            <w:noWrap/>
            <w:vAlign w:val="center"/>
            <w:hideMark/>
          </w:tcPr>
          <w:p w14:paraId="2DDAE148" w14:textId="77777777" w:rsidR="0089544F" w:rsidRPr="00263C50" w:rsidRDefault="0089544F" w:rsidP="00186583">
            <w:pPr>
              <w:ind w:right="-158"/>
              <w:rPr>
                <w:rFonts w:ascii="Times New Roman" w:eastAsia="Times New Roman" w:hAnsi="Times New Roman" w:cs="Times New Roman"/>
                <w:i/>
                <w:iCs/>
                <w:color w:val="000000"/>
                <w:sz w:val="15"/>
                <w:szCs w:val="15"/>
                <w:lang w:val="en-US" w:eastAsia="zh-TW"/>
              </w:rPr>
            </w:pPr>
            <w:r w:rsidRPr="00263C50">
              <w:rPr>
                <w:rFonts w:ascii="Times New Roman" w:hAnsi="Times New Roman" w:cs="Times New Roman"/>
                <w:i/>
                <w:color w:val="000000"/>
                <w:sz w:val="15"/>
                <w:szCs w:val="15"/>
              </w:rPr>
              <w:t>Family</w:t>
            </w:r>
          </w:p>
        </w:tc>
        <w:tc>
          <w:tcPr>
            <w:tcW w:w="844" w:type="dxa"/>
            <w:tcBorders>
              <w:top w:val="nil"/>
              <w:left w:val="nil"/>
              <w:bottom w:val="nil"/>
              <w:right w:val="nil"/>
            </w:tcBorders>
            <w:shd w:val="clear" w:color="auto" w:fill="auto"/>
            <w:noWrap/>
            <w:vAlign w:val="center"/>
            <w:hideMark/>
          </w:tcPr>
          <w:p w14:paraId="410159A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0.045</w:t>
            </w:r>
          </w:p>
        </w:tc>
        <w:tc>
          <w:tcPr>
            <w:tcW w:w="844" w:type="dxa"/>
            <w:tcBorders>
              <w:top w:val="nil"/>
              <w:left w:val="nil"/>
              <w:bottom w:val="nil"/>
              <w:right w:val="nil"/>
            </w:tcBorders>
            <w:shd w:val="clear" w:color="auto" w:fill="auto"/>
            <w:noWrap/>
            <w:vAlign w:val="center"/>
            <w:hideMark/>
          </w:tcPr>
          <w:p w14:paraId="6BD934F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-0.12</w:t>
            </w:r>
          </w:p>
        </w:tc>
        <w:tc>
          <w:tcPr>
            <w:tcW w:w="845" w:type="dxa"/>
            <w:tcBorders>
              <w:top w:val="nil"/>
              <w:left w:val="nil"/>
              <w:bottom w:val="nil"/>
              <w:right w:val="nil"/>
            </w:tcBorders>
            <w:shd w:val="clear" w:color="auto" w:fill="auto"/>
            <w:noWrap/>
            <w:vAlign w:val="center"/>
            <w:hideMark/>
          </w:tcPr>
          <w:p w14:paraId="06D26EC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-0.11</w:t>
            </w:r>
          </w:p>
        </w:tc>
        <w:tc>
          <w:tcPr>
            <w:tcW w:w="844" w:type="dxa"/>
            <w:tcBorders>
              <w:top w:val="nil"/>
              <w:left w:val="nil"/>
              <w:bottom w:val="nil"/>
              <w:right w:val="nil"/>
            </w:tcBorders>
            <w:shd w:val="clear" w:color="auto" w:fill="auto"/>
            <w:noWrap/>
            <w:vAlign w:val="center"/>
            <w:hideMark/>
          </w:tcPr>
          <w:p w14:paraId="51F1A4C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0.18*</w:t>
            </w:r>
          </w:p>
        </w:tc>
        <w:tc>
          <w:tcPr>
            <w:tcW w:w="845" w:type="dxa"/>
            <w:tcBorders>
              <w:top w:val="nil"/>
              <w:left w:val="nil"/>
              <w:bottom w:val="nil"/>
              <w:right w:val="nil"/>
            </w:tcBorders>
            <w:shd w:val="clear" w:color="auto" w:fill="auto"/>
            <w:noWrap/>
            <w:vAlign w:val="center"/>
            <w:hideMark/>
          </w:tcPr>
          <w:p w14:paraId="3E4B859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0.18**</w:t>
            </w:r>
          </w:p>
        </w:tc>
        <w:tc>
          <w:tcPr>
            <w:tcW w:w="844" w:type="dxa"/>
            <w:tcBorders>
              <w:top w:val="nil"/>
              <w:left w:val="nil"/>
              <w:bottom w:val="nil"/>
              <w:right w:val="nil"/>
            </w:tcBorders>
            <w:shd w:val="clear" w:color="auto" w:fill="auto"/>
            <w:noWrap/>
            <w:vAlign w:val="center"/>
            <w:hideMark/>
          </w:tcPr>
          <w:p w14:paraId="7250D22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0.097</w:t>
            </w:r>
          </w:p>
        </w:tc>
        <w:tc>
          <w:tcPr>
            <w:tcW w:w="864" w:type="dxa"/>
            <w:tcBorders>
              <w:top w:val="nil"/>
              <w:left w:val="nil"/>
              <w:bottom w:val="nil"/>
              <w:right w:val="nil"/>
            </w:tcBorders>
            <w:shd w:val="clear" w:color="auto" w:fill="auto"/>
            <w:noWrap/>
            <w:vAlign w:val="center"/>
            <w:hideMark/>
          </w:tcPr>
          <w:p w14:paraId="219A723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-0.042</w:t>
            </w:r>
          </w:p>
        </w:tc>
        <w:tc>
          <w:tcPr>
            <w:tcW w:w="844" w:type="dxa"/>
            <w:tcBorders>
              <w:top w:val="nil"/>
              <w:left w:val="nil"/>
              <w:bottom w:val="nil"/>
              <w:right w:val="nil"/>
            </w:tcBorders>
            <w:shd w:val="clear" w:color="auto" w:fill="auto"/>
            <w:noWrap/>
            <w:vAlign w:val="center"/>
            <w:hideMark/>
          </w:tcPr>
          <w:p w14:paraId="3D1C783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-0.028</w:t>
            </w:r>
          </w:p>
        </w:tc>
        <w:tc>
          <w:tcPr>
            <w:tcW w:w="844" w:type="dxa"/>
            <w:tcBorders>
              <w:top w:val="nil"/>
              <w:left w:val="nil"/>
              <w:bottom w:val="nil"/>
              <w:right w:val="nil"/>
            </w:tcBorders>
            <w:shd w:val="clear" w:color="auto" w:fill="auto"/>
            <w:noWrap/>
            <w:vAlign w:val="center"/>
            <w:hideMark/>
          </w:tcPr>
          <w:p w14:paraId="083D378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-0.019</w:t>
            </w:r>
          </w:p>
        </w:tc>
        <w:tc>
          <w:tcPr>
            <w:tcW w:w="845" w:type="dxa"/>
            <w:tcBorders>
              <w:top w:val="nil"/>
              <w:left w:val="nil"/>
              <w:bottom w:val="nil"/>
              <w:right w:val="nil"/>
            </w:tcBorders>
            <w:shd w:val="clear" w:color="auto" w:fill="auto"/>
            <w:noWrap/>
            <w:vAlign w:val="center"/>
            <w:hideMark/>
          </w:tcPr>
          <w:p w14:paraId="2F8792C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0.0019</w:t>
            </w:r>
          </w:p>
        </w:tc>
        <w:tc>
          <w:tcPr>
            <w:tcW w:w="844" w:type="dxa"/>
            <w:tcBorders>
              <w:top w:val="nil"/>
              <w:left w:val="nil"/>
              <w:bottom w:val="nil"/>
              <w:right w:val="nil"/>
            </w:tcBorders>
            <w:shd w:val="clear" w:color="auto" w:fill="auto"/>
            <w:noWrap/>
            <w:vAlign w:val="center"/>
            <w:hideMark/>
          </w:tcPr>
          <w:p w14:paraId="7F15BAB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-0.019</w:t>
            </w:r>
          </w:p>
        </w:tc>
        <w:tc>
          <w:tcPr>
            <w:tcW w:w="845" w:type="dxa"/>
            <w:tcBorders>
              <w:top w:val="nil"/>
              <w:left w:val="nil"/>
              <w:bottom w:val="nil"/>
              <w:right w:val="nil"/>
            </w:tcBorders>
            <w:shd w:val="clear" w:color="auto" w:fill="auto"/>
            <w:noWrap/>
            <w:vAlign w:val="center"/>
            <w:hideMark/>
          </w:tcPr>
          <w:p w14:paraId="7FAA19E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-0.054</w:t>
            </w:r>
          </w:p>
        </w:tc>
        <w:tc>
          <w:tcPr>
            <w:tcW w:w="844" w:type="dxa"/>
            <w:tcBorders>
              <w:top w:val="nil"/>
              <w:left w:val="nil"/>
              <w:bottom w:val="nil"/>
              <w:right w:val="nil"/>
            </w:tcBorders>
            <w:shd w:val="clear" w:color="auto" w:fill="auto"/>
            <w:noWrap/>
            <w:vAlign w:val="center"/>
            <w:hideMark/>
          </w:tcPr>
          <w:p w14:paraId="3BB0E87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0.018</w:t>
            </w:r>
          </w:p>
        </w:tc>
        <w:tc>
          <w:tcPr>
            <w:tcW w:w="845" w:type="dxa"/>
            <w:tcBorders>
              <w:top w:val="nil"/>
              <w:left w:val="nil"/>
              <w:bottom w:val="nil"/>
              <w:right w:val="nil"/>
            </w:tcBorders>
            <w:shd w:val="clear" w:color="auto" w:fill="auto"/>
            <w:noWrap/>
            <w:vAlign w:val="center"/>
            <w:hideMark/>
          </w:tcPr>
          <w:p w14:paraId="0CD321E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0.075</w:t>
            </w:r>
          </w:p>
        </w:tc>
      </w:tr>
      <w:tr w:rsidR="0089544F" w:rsidRPr="00263C50" w14:paraId="1198295C" w14:textId="77777777" w:rsidTr="005668E0">
        <w:trPr>
          <w:trHeight w:val="20"/>
        </w:trPr>
        <w:tc>
          <w:tcPr>
            <w:tcW w:w="1008" w:type="dxa"/>
            <w:tcBorders>
              <w:top w:val="nil"/>
              <w:left w:val="nil"/>
              <w:bottom w:val="nil"/>
              <w:right w:val="nil"/>
            </w:tcBorders>
            <w:shd w:val="clear" w:color="auto" w:fill="auto"/>
            <w:noWrap/>
            <w:vAlign w:val="center"/>
            <w:hideMark/>
          </w:tcPr>
          <w:p w14:paraId="3DA36D77"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
        </w:tc>
        <w:tc>
          <w:tcPr>
            <w:tcW w:w="844" w:type="dxa"/>
            <w:tcBorders>
              <w:top w:val="nil"/>
              <w:left w:val="nil"/>
              <w:bottom w:val="nil"/>
              <w:right w:val="nil"/>
            </w:tcBorders>
            <w:shd w:val="clear" w:color="auto" w:fill="auto"/>
            <w:noWrap/>
            <w:vAlign w:val="center"/>
            <w:hideMark/>
          </w:tcPr>
          <w:p w14:paraId="41AB52E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(0.42)</w:t>
            </w:r>
          </w:p>
        </w:tc>
        <w:tc>
          <w:tcPr>
            <w:tcW w:w="844" w:type="dxa"/>
            <w:tcBorders>
              <w:top w:val="nil"/>
              <w:left w:val="nil"/>
              <w:bottom w:val="nil"/>
              <w:right w:val="nil"/>
            </w:tcBorders>
            <w:shd w:val="clear" w:color="auto" w:fill="auto"/>
            <w:noWrap/>
            <w:vAlign w:val="center"/>
            <w:hideMark/>
          </w:tcPr>
          <w:p w14:paraId="6499797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(-1.48)</w:t>
            </w:r>
          </w:p>
        </w:tc>
        <w:tc>
          <w:tcPr>
            <w:tcW w:w="845" w:type="dxa"/>
            <w:tcBorders>
              <w:top w:val="nil"/>
              <w:left w:val="nil"/>
              <w:bottom w:val="nil"/>
              <w:right w:val="nil"/>
            </w:tcBorders>
            <w:shd w:val="clear" w:color="auto" w:fill="auto"/>
            <w:noWrap/>
            <w:vAlign w:val="center"/>
            <w:hideMark/>
          </w:tcPr>
          <w:p w14:paraId="6ED5672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(-1.13)</w:t>
            </w:r>
          </w:p>
        </w:tc>
        <w:tc>
          <w:tcPr>
            <w:tcW w:w="844" w:type="dxa"/>
            <w:tcBorders>
              <w:top w:val="nil"/>
              <w:left w:val="nil"/>
              <w:bottom w:val="nil"/>
              <w:right w:val="nil"/>
            </w:tcBorders>
            <w:shd w:val="clear" w:color="auto" w:fill="auto"/>
            <w:noWrap/>
            <w:vAlign w:val="center"/>
            <w:hideMark/>
          </w:tcPr>
          <w:p w14:paraId="0BE3215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(1.93)</w:t>
            </w:r>
          </w:p>
        </w:tc>
        <w:tc>
          <w:tcPr>
            <w:tcW w:w="845" w:type="dxa"/>
            <w:tcBorders>
              <w:top w:val="nil"/>
              <w:left w:val="nil"/>
              <w:bottom w:val="nil"/>
              <w:right w:val="nil"/>
            </w:tcBorders>
            <w:shd w:val="clear" w:color="auto" w:fill="auto"/>
            <w:noWrap/>
            <w:vAlign w:val="center"/>
            <w:hideMark/>
          </w:tcPr>
          <w:p w14:paraId="23835FF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(2.04)</w:t>
            </w:r>
          </w:p>
        </w:tc>
        <w:tc>
          <w:tcPr>
            <w:tcW w:w="844" w:type="dxa"/>
            <w:tcBorders>
              <w:top w:val="nil"/>
              <w:left w:val="nil"/>
              <w:bottom w:val="nil"/>
              <w:right w:val="nil"/>
            </w:tcBorders>
            <w:shd w:val="clear" w:color="auto" w:fill="auto"/>
            <w:noWrap/>
            <w:vAlign w:val="center"/>
            <w:hideMark/>
          </w:tcPr>
          <w:p w14:paraId="0205AAF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(1.12)</w:t>
            </w:r>
          </w:p>
        </w:tc>
        <w:tc>
          <w:tcPr>
            <w:tcW w:w="864" w:type="dxa"/>
            <w:tcBorders>
              <w:top w:val="nil"/>
              <w:left w:val="nil"/>
              <w:bottom w:val="nil"/>
              <w:right w:val="nil"/>
            </w:tcBorders>
            <w:shd w:val="clear" w:color="auto" w:fill="auto"/>
            <w:noWrap/>
            <w:vAlign w:val="center"/>
            <w:hideMark/>
          </w:tcPr>
          <w:p w14:paraId="2E7CF24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(-0.50)</w:t>
            </w:r>
          </w:p>
        </w:tc>
        <w:tc>
          <w:tcPr>
            <w:tcW w:w="844" w:type="dxa"/>
            <w:tcBorders>
              <w:top w:val="nil"/>
              <w:left w:val="nil"/>
              <w:bottom w:val="nil"/>
              <w:right w:val="nil"/>
            </w:tcBorders>
            <w:shd w:val="clear" w:color="auto" w:fill="auto"/>
            <w:noWrap/>
            <w:vAlign w:val="center"/>
            <w:hideMark/>
          </w:tcPr>
          <w:p w14:paraId="0A67E6F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(-0.27)</w:t>
            </w:r>
          </w:p>
        </w:tc>
        <w:tc>
          <w:tcPr>
            <w:tcW w:w="844" w:type="dxa"/>
            <w:tcBorders>
              <w:top w:val="nil"/>
              <w:left w:val="nil"/>
              <w:bottom w:val="nil"/>
              <w:right w:val="nil"/>
            </w:tcBorders>
            <w:shd w:val="clear" w:color="auto" w:fill="auto"/>
            <w:noWrap/>
            <w:vAlign w:val="center"/>
            <w:hideMark/>
          </w:tcPr>
          <w:p w14:paraId="4F135EC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(-0.19)</w:t>
            </w:r>
          </w:p>
        </w:tc>
        <w:tc>
          <w:tcPr>
            <w:tcW w:w="845" w:type="dxa"/>
            <w:tcBorders>
              <w:top w:val="nil"/>
              <w:left w:val="nil"/>
              <w:bottom w:val="nil"/>
              <w:right w:val="nil"/>
            </w:tcBorders>
            <w:shd w:val="clear" w:color="auto" w:fill="auto"/>
            <w:noWrap/>
            <w:vAlign w:val="center"/>
            <w:hideMark/>
          </w:tcPr>
          <w:p w14:paraId="3528C19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(0.017)</w:t>
            </w:r>
          </w:p>
        </w:tc>
        <w:tc>
          <w:tcPr>
            <w:tcW w:w="844" w:type="dxa"/>
            <w:tcBorders>
              <w:top w:val="nil"/>
              <w:left w:val="nil"/>
              <w:bottom w:val="nil"/>
              <w:right w:val="nil"/>
            </w:tcBorders>
            <w:shd w:val="clear" w:color="auto" w:fill="auto"/>
            <w:noWrap/>
            <w:vAlign w:val="center"/>
            <w:hideMark/>
          </w:tcPr>
          <w:p w14:paraId="779816B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(-0.22)</w:t>
            </w:r>
          </w:p>
        </w:tc>
        <w:tc>
          <w:tcPr>
            <w:tcW w:w="845" w:type="dxa"/>
            <w:tcBorders>
              <w:top w:val="nil"/>
              <w:left w:val="nil"/>
              <w:bottom w:val="nil"/>
              <w:right w:val="nil"/>
            </w:tcBorders>
            <w:shd w:val="clear" w:color="auto" w:fill="auto"/>
            <w:noWrap/>
            <w:vAlign w:val="center"/>
            <w:hideMark/>
          </w:tcPr>
          <w:p w14:paraId="20AB9E2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(-0.58)</w:t>
            </w:r>
          </w:p>
        </w:tc>
        <w:tc>
          <w:tcPr>
            <w:tcW w:w="844" w:type="dxa"/>
            <w:tcBorders>
              <w:top w:val="nil"/>
              <w:left w:val="nil"/>
              <w:bottom w:val="nil"/>
              <w:right w:val="nil"/>
            </w:tcBorders>
            <w:shd w:val="clear" w:color="auto" w:fill="auto"/>
            <w:noWrap/>
            <w:vAlign w:val="center"/>
            <w:hideMark/>
          </w:tcPr>
          <w:p w14:paraId="72DE2E6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(0.18)</w:t>
            </w:r>
          </w:p>
        </w:tc>
        <w:tc>
          <w:tcPr>
            <w:tcW w:w="845" w:type="dxa"/>
            <w:tcBorders>
              <w:top w:val="nil"/>
              <w:left w:val="nil"/>
              <w:bottom w:val="nil"/>
              <w:right w:val="nil"/>
            </w:tcBorders>
            <w:shd w:val="clear" w:color="auto" w:fill="auto"/>
            <w:noWrap/>
            <w:vAlign w:val="center"/>
            <w:hideMark/>
          </w:tcPr>
          <w:p w14:paraId="50A629A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(0.69)</w:t>
            </w:r>
          </w:p>
        </w:tc>
      </w:tr>
      <w:tr w:rsidR="0089544F" w:rsidRPr="00263C50" w14:paraId="7AFBADB8" w14:textId="77777777" w:rsidTr="005668E0">
        <w:trPr>
          <w:trHeight w:val="20"/>
        </w:trPr>
        <w:tc>
          <w:tcPr>
            <w:tcW w:w="1008" w:type="dxa"/>
            <w:tcBorders>
              <w:top w:val="nil"/>
              <w:left w:val="nil"/>
              <w:bottom w:val="nil"/>
              <w:right w:val="nil"/>
            </w:tcBorders>
            <w:shd w:val="clear" w:color="auto" w:fill="auto"/>
            <w:noWrap/>
            <w:vAlign w:val="center"/>
            <w:hideMark/>
          </w:tcPr>
          <w:p w14:paraId="15776B6B"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roofErr w:type="spellStart"/>
            <w:r w:rsidRPr="00263C50">
              <w:rPr>
                <w:rFonts w:ascii="Times New Roman" w:hAnsi="Times New Roman" w:cs="Times New Roman"/>
                <w:i/>
                <w:color w:val="000000"/>
                <w:sz w:val="15"/>
                <w:szCs w:val="15"/>
              </w:rPr>
              <w:t>FinExp</w:t>
            </w:r>
            <w:proofErr w:type="spellEnd"/>
          </w:p>
        </w:tc>
        <w:tc>
          <w:tcPr>
            <w:tcW w:w="844" w:type="dxa"/>
            <w:tcBorders>
              <w:top w:val="nil"/>
              <w:left w:val="nil"/>
              <w:bottom w:val="nil"/>
              <w:right w:val="nil"/>
            </w:tcBorders>
            <w:shd w:val="clear" w:color="auto" w:fill="auto"/>
            <w:noWrap/>
            <w:vAlign w:val="center"/>
            <w:hideMark/>
          </w:tcPr>
          <w:p w14:paraId="216095C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0.38***</w:t>
            </w:r>
          </w:p>
        </w:tc>
        <w:tc>
          <w:tcPr>
            <w:tcW w:w="844" w:type="dxa"/>
            <w:tcBorders>
              <w:top w:val="nil"/>
              <w:left w:val="nil"/>
              <w:bottom w:val="nil"/>
              <w:right w:val="nil"/>
            </w:tcBorders>
            <w:shd w:val="clear" w:color="auto" w:fill="auto"/>
            <w:noWrap/>
            <w:vAlign w:val="center"/>
            <w:hideMark/>
          </w:tcPr>
          <w:p w14:paraId="115FC09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0.55***</w:t>
            </w:r>
          </w:p>
        </w:tc>
        <w:tc>
          <w:tcPr>
            <w:tcW w:w="845" w:type="dxa"/>
            <w:tcBorders>
              <w:top w:val="nil"/>
              <w:left w:val="nil"/>
              <w:bottom w:val="nil"/>
              <w:right w:val="nil"/>
            </w:tcBorders>
            <w:shd w:val="clear" w:color="auto" w:fill="auto"/>
            <w:noWrap/>
            <w:vAlign w:val="center"/>
            <w:hideMark/>
          </w:tcPr>
          <w:p w14:paraId="216B9ED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0.23**</w:t>
            </w:r>
          </w:p>
        </w:tc>
        <w:tc>
          <w:tcPr>
            <w:tcW w:w="844" w:type="dxa"/>
            <w:tcBorders>
              <w:top w:val="nil"/>
              <w:left w:val="nil"/>
              <w:bottom w:val="nil"/>
              <w:right w:val="nil"/>
            </w:tcBorders>
            <w:shd w:val="clear" w:color="auto" w:fill="auto"/>
            <w:noWrap/>
            <w:vAlign w:val="center"/>
            <w:hideMark/>
          </w:tcPr>
          <w:p w14:paraId="38B99D5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0.45***</w:t>
            </w:r>
          </w:p>
        </w:tc>
        <w:tc>
          <w:tcPr>
            <w:tcW w:w="845" w:type="dxa"/>
            <w:tcBorders>
              <w:top w:val="nil"/>
              <w:left w:val="nil"/>
              <w:bottom w:val="nil"/>
              <w:right w:val="nil"/>
            </w:tcBorders>
            <w:shd w:val="clear" w:color="auto" w:fill="auto"/>
            <w:noWrap/>
            <w:vAlign w:val="center"/>
            <w:hideMark/>
          </w:tcPr>
          <w:p w14:paraId="43D5B00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0.16</w:t>
            </w:r>
          </w:p>
        </w:tc>
        <w:tc>
          <w:tcPr>
            <w:tcW w:w="844" w:type="dxa"/>
            <w:tcBorders>
              <w:top w:val="nil"/>
              <w:left w:val="nil"/>
              <w:bottom w:val="nil"/>
              <w:right w:val="nil"/>
            </w:tcBorders>
            <w:shd w:val="clear" w:color="auto" w:fill="auto"/>
            <w:noWrap/>
            <w:vAlign w:val="center"/>
            <w:hideMark/>
          </w:tcPr>
          <w:p w14:paraId="77CFCB5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0.093</w:t>
            </w:r>
          </w:p>
        </w:tc>
        <w:tc>
          <w:tcPr>
            <w:tcW w:w="864" w:type="dxa"/>
            <w:tcBorders>
              <w:top w:val="nil"/>
              <w:left w:val="nil"/>
              <w:bottom w:val="nil"/>
              <w:right w:val="nil"/>
            </w:tcBorders>
            <w:shd w:val="clear" w:color="auto" w:fill="auto"/>
            <w:noWrap/>
            <w:vAlign w:val="center"/>
            <w:hideMark/>
          </w:tcPr>
          <w:p w14:paraId="79B7F88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0.36</w:t>
            </w:r>
          </w:p>
        </w:tc>
        <w:tc>
          <w:tcPr>
            <w:tcW w:w="844" w:type="dxa"/>
            <w:tcBorders>
              <w:top w:val="nil"/>
              <w:left w:val="nil"/>
              <w:bottom w:val="nil"/>
              <w:right w:val="nil"/>
            </w:tcBorders>
            <w:shd w:val="clear" w:color="auto" w:fill="auto"/>
            <w:noWrap/>
            <w:vAlign w:val="center"/>
            <w:hideMark/>
          </w:tcPr>
          <w:p w14:paraId="21C5667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0.24*</w:t>
            </w:r>
          </w:p>
        </w:tc>
        <w:tc>
          <w:tcPr>
            <w:tcW w:w="844" w:type="dxa"/>
            <w:tcBorders>
              <w:top w:val="nil"/>
              <w:left w:val="nil"/>
              <w:bottom w:val="nil"/>
              <w:right w:val="nil"/>
            </w:tcBorders>
            <w:shd w:val="clear" w:color="auto" w:fill="auto"/>
            <w:noWrap/>
            <w:vAlign w:val="center"/>
            <w:hideMark/>
          </w:tcPr>
          <w:p w14:paraId="2CF9024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0.089</w:t>
            </w:r>
          </w:p>
        </w:tc>
        <w:tc>
          <w:tcPr>
            <w:tcW w:w="845" w:type="dxa"/>
            <w:tcBorders>
              <w:top w:val="nil"/>
              <w:left w:val="nil"/>
              <w:bottom w:val="nil"/>
              <w:right w:val="nil"/>
            </w:tcBorders>
            <w:shd w:val="clear" w:color="auto" w:fill="auto"/>
            <w:noWrap/>
            <w:vAlign w:val="center"/>
            <w:hideMark/>
          </w:tcPr>
          <w:p w14:paraId="67DA35B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0.40***</w:t>
            </w:r>
          </w:p>
        </w:tc>
        <w:tc>
          <w:tcPr>
            <w:tcW w:w="844" w:type="dxa"/>
            <w:tcBorders>
              <w:top w:val="nil"/>
              <w:left w:val="nil"/>
              <w:bottom w:val="nil"/>
              <w:right w:val="nil"/>
            </w:tcBorders>
            <w:shd w:val="clear" w:color="auto" w:fill="auto"/>
            <w:noWrap/>
            <w:vAlign w:val="center"/>
            <w:hideMark/>
          </w:tcPr>
          <w:p w14:paraId="394B7CF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0.076</w:t>
            </w:r>
          </w:p>
        </w:tc>
        <w:tc>
          <w:tcPr>
            <w:tcW w:w="845" w:type="dxa"/>
            <w:tcBorders>
              <w:top w:val="nil"/>
              <w:left w:val="nil"/>
              <w:bottom w:val="nil"/>
              <w:right w:val="nil"/>
            </w:tcBorders>
            <w:shd w:val="clear" w:color="auto" w:fill="auto"/>
            <w:noWrap/>
            <w:vAlign w:val="center"/>
            <w:hideMark/>
          </w:tcPr>
          <w:p w14:paraId="2006784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0.15</w:t>
            </w:r>
          </w:p>
        </w:tc>
        <w:tc>
          <w:tcPr>
            <w:tcW w:w="844" w:type="dxa"/>
            <w:tcBorders>
              <w:top w:val="nil"/>
              <w:left w:val="nil"/>
              <w:bottom w:val="nil"/>
              <w:right w:val="nil"/>
            </w:tcBorders>
            <w:shd w:val="clear" w:color="auto" w:fill="auto"/>
            <w:noWrap/>
            <w:vAlign w:val="center"/>
            <w:hideMark/>
          </w:tcPr>
          <w:p w14:paraId="3342415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0.36***</w:t>
            </w:r>
          </w:p>
        </w:tc>
        <w:tc>
          <w:tcPr>
            <w:tcW w:w="845" w:type="dxa"/>
            <w:tcBorders>
              <w:top w:val="nil"/>
              <w:left w:val="nil"/>
              <w:bottom w:val="nil"/>
              <w:right w:val="nil"/>
            </w:tcBorders>
            <w:shd w:val="clear" w:color="auto" w:fill="auto"/>
            <w:noWrap/>
            <w:vAlign w:val="center"/>
            <w:hideMark/>
          </w:tcPr>
          <w:p w14:paraId="0FD1B43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0.29**</w:t>
            </w:r>
          </w:p>
        </w:tc>
      </w:tr>
      <w:tr w:rsidR="0089544F" w:rsidRPr="00263C50" w14:paraId="0EB4DFCB" w14:textId="77777777" w:rsidTr="005668E0">
        <w:trPr>
          <w:trHeight w:val="20"/>
        </w:trPr>
        <w:tc>
          <w:tcPr>
            <w:tcW w:w="1008" w:type="dxa"/>
            <w:tcBorders>
              <w:top w:val="nil"/>
              <w:left w:val="nil"/>
              <w:bottom w:val="nil"/>
              <w:right w:val="nil"/>
            </w:tcBorders>
            <w:shd w:val="clear" w:color="auto" w:fill="auto"/>
            <w:noWrap/>
            <w:vAlign w:val="center"/>
            <w:hideMark/>
          </w:tcPr>
          <w:p w14:paraId="244462D5"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
        </w:tc>
        <w:tc>
          <w:tcPr>
            <w:tcW w:w="844" w:type="dxa"/>
            <w:tcBorders>
              <w:top w:val="nil"/>
              <w:left w:val="nil"/>
              <w:bottom w:val="nil"/>
              <w:right w:val="nil"/>
            </w:tcBorders>
            <w:shd w:val="clear" w:color="auto" w:fill="auto"/>
            <w:noWrap/>
            <w:vAlign w:val="center"/>
            <w:hideMark/>
          </w:tcPr>
          <w:p w14:paraId="6E9049F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(2.71)</w:t>
            </w:r>
          </w:p>
        </w:tc>
        <w:tc>
          <w:tcPr>
            <w:tcW w:w="844" w:type="dxa"/>
            <w:tcBorders>
              <w:top w:val="nil"/>
              <w:left w:val="nil"/>
              <w:bottom w:val="nil"/>
              <w:right w:val="nil"/>
            </w:tcBorders>
            <w:shd w:val="clear" w:color="auto" w:fill="auto"/>
            <w:noWrap/>
            <w:vAlign w:val="center"/>
            <w:hideMark/>
          </w:tcPr>
          <w:p w14:paraId="30715DB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(5.74)</w:t>
            </w:r>
          </w:p>
        </w:tc>
        <w:tc>
          <w:tcPr>
            <w:tcW w:w="845" w:type="dxa"/>
            <w:tcBorders>
              <w:top w:val="nil"/>
              <w:left w:val="nil"/>
              <w:bottom w:val="nil"/>
              <w:right w:val="nil"/>
            </w:tcBorders>
            <w:shd w:val="clear" w:color="auto" w:fill="auto"/>
            <w:noWrap/>
            <w:vAlign w:val="center"/>
            <w:hideMark/>
          </w:tcPr>
          <w:p w14:paraId="08262F0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(2.18)</w:t>
            </w:r>
          </w:p>
        </w:tc>
        <w:tc>
          <w:tcPr>
            <w:tcW w:w="844" w:type="dxa"/>
            <w:tcBorders>
              <w:top w:val="nil"/>
              <w:left w:val="nil"/>
              <w:bottom w:val="nil"/>
              <w:right w:val="nil"/>
            </w:tcBorders>
            <w:shd w:val="clear" w:color="auto" w:fill="auto"/>
            <w:noWrap/>
            <w:vAlign w:val="center"/>
            <w:hideMark/>
          </w:tcPr>
          <w:p w14:paraId="3BE79DD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(3.18)</w:t>
            </w:r>
          </w:p>
        </w:tc>
        <w:tc>
          <w:tcPr>
            <w:tcW w:w="845" w:type="dxa"/>
            <w:tcBorders>
              <w:top w:val="nil"/>
              <w:left w:val="nil"/>
              <w:bottom w:val="nil"/>
              <w:right w:val="nil"/>
            </w:tcBorders>
            <w:shd w:val="clear" w:color="auto" w:fill="auto"/>
            <w:noWrap/>
            <w:vAlign w:val="center"/>
            <w:hideMark/>
          </w:tcPr>
          <w:p w14:paraId="3F9F7A6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(1.41)</w:t>
            </w:r>
          </w:p>
        </w:tc>
        <w:tc>
          <w:tcPr>
            <w:tcW w:w="844" w:type="dxa"/>
            <w:tcBorders>
              <w:top w:val="nil"/>
              <w:left w:val="nil"/>
              <w:bottom w:val="nil"/>
              <w:right w:val="nil"/>
            </w:tcBorders>
            <w:shd w:val="clear" w:color="auto" w:fill="auto"/>
            <w:noWrap/>
            <w:vAlign w:val="center"/>
            <w:hideMark/>
          </w:tcPr>
          <w:p w14:paraId="6427A2D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(1.05)</w:t>
            </w:r>
          </w:p>
        </w:tc>
        <w:tc>
          <w:tcPr>
            <w:tcW w:w="864" w:type="dxa"/>
            <w:tcBorders>
              <w:top w:val="nil"/>
              <w:left w:val="nil"/>
              <w:bottom w:val="nil"/>
              <w:right w:val="nil"/>
            </w:tcBorders>
            <w:shd w:val="clear" w:color="auto" w:fill="auto"/>
            <w:noWrap/>
            <w:vAlign w:val="center"/>
            <w:hideMark/>
          </w:tcPr>
          <w:p w14:paraId="5F9E579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(1.56)</w:t>
            </w:r>
          </w:p>
        </w:tc>
        <w:tc>
          <w:tcPr>
            <w:tcW w:w="844" w:type="dxa"/>
            <w:tcBorders>
              <w:top w:val="nil"/>
              <w:left w:val="nil"/>
              <w:bottom w:val="nil"/>
              <w:right w:val="nil"/>
            </w:tcBorders>
            <w:shd w:val="clear" w:color="auto" w:fill="auto"/>
            <w:noWrap/>
            <w:vAlign w:val="center"/>
            <w:hideMark/>
          </w:tcPr>
          <w:p w14:paraId="5892F4A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(1.86)</w:t>
            </w:r>
          </w:p>
        </w:tc>
        <w:tc>
          <w:tcPr>
            <w:tcW w:w="844" w:type="dxa"/>
            <w:tcBorders>
              <w:top w:val="nil"/>
              <w:left w:val="nil"/>
              <w:bottom w:val="nil"/>
              <w:right w:val="nil"/>
            </w:tcBorders>
            <w:shd w:val="clear" w:color="auto" w:fill="auto"/>
            <w:noWrap/>
            <w:vAlign w:val="center"/>
            <w:hideMark/>
          </w:tcPr>
          <w:p w14:paraId="18C0785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(0.38)</w:t>
            </w:r>
          </w:p>
        </w:tc>
        <w:tc>
          <w:tcPr>
            <w:tcW w:w="845" w:type="dxa"/>
            <w:tcBorders>
              <w:top w:val="nil"/>
              <w:left w:val="nil"/>
              <w:bottom w:val="nil"/>
              <w:right w:val="nil"/>
            </w:tcBorders>
            <w:shd w:val="clear" w:color="auto" w:fill="auto"/>
            <w:noWrap/>
            <w:vAlign w:val="center"/>
            <w:hideMark/>
          </w:tcPr>
          <w:p w14:paraId="2AD695D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(3.28)</w:t>
            </w:r>
          </w:p>
        </w:tc>
        <w:tc>
          <w:tcPr>
            <w:tcW w:w="844" w:type="dxa"/>
            <w:tcBorders>
              <w:top w:val="nil"/>
              <w:left w:val="nil"/>
              <w:bottom w:val="nil"/>
              <w:right w:val="nil"/>
            </w:tcBorders>
            <w:shd w:val="clear" w:color="auto" w:fill="auto"/>
            <w:noWrap/>
            <w:vAlign w:val="center"/>
            <w:hideMark/>
          </w:tcPr>
          <w:p w14:paraId="053F8EA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(0.88)</w:t>
            </w:r>
          </w:p>
        </w:tc>
        <w:tc>
          <w:tcPr>
            <w:tcW w:w="845" w:type="dxa"/>
            <w:tcBorders>
              <w:top w:val="nil"/>
              <w:left w:val="nil"/>
              <w:bottom w:val="nil"/>
              <w:right w:val="nil"/>
            </w:tcBorders>
            <w:shd w:val="clear" w:color="auto" w:fill="auto"/>
            <w:noWrap/>
            <w:vAlign w:val="center"/>
            <w:hideMark/>
          </w:tcPr>
          <w:p w14:paraId="7250A14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(1.31)</w:t>
            </w:r>
          </w:p>
        </w:tc>
        <w:tc>
          <w:tcPr>
            <w:tcW w:w="844" w:type="dxa"/>
            <w:tcBorders>
              <w:top w:val="nil"/>
              <w:left w:val="nil"/>
              <w:bottom w:val="nil"/>
              <w:right w:val="nil"/>
            </w:tcBorders>
            <w:shd w:val="clear" w:color="auto" w:fill="auto"/>
            <w:noWrap/>
            <w:vAlign w:val="center"/>
            <w:hideMark/>
          </w:tcPr>
          <w:p w14:paraId="1A48810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(2.78)</w:t>
            </w:r>
          </w:p>
        </w:tc>
        <w:tc>
          <w:tcPr>
            <w:tcW w:w="845" w:type="dxa"/>
            <w:tcBorders>
              <w:top w:val="nil"/>
              <w:left w:val="nil"/>
              <w:bottom w:val="nil"/>
              <w:right w:val="nil"/>
            </w:tcBorders>
            <w:shd w:val="clear" w:color="auto" w:fill="auto"/>
            <w:noWrap/>
            <w:vAlign w:val="center"/>
            <w:hideMark/>
          </w:tcPr>
          <w:p w14:paraId="6A8BC29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(2.21)</w:t>
            </w:r>
          </w:p>
        </w:tc>
      </w:tr>
      <w:tr w:rsidR="0089544F" w:rsidRPr="00263C50" w14:paraId="28E17E51" w14:textId="77777777" w:rsidTr="005668E0">
        <w:trPr>
          <w:trHeight w:val="20"/>
        </w:trPr>
        <w:tc>
          <w:tcPr>
            <w:tcW w:w="1008" w:type="dxa"/>
            <w:tcBorders>
              <w:top w:val="nil"/>
              <w:left w:val="nil"/>
              <w:bottom w:val="nil"/>
              <w:right w:val="nil"/>
            </w:tcBorders>
            <w:shd w:val="clear" w:color="auto" w:fill="auto"/>
            <w:noWrap/>
            <w:vAlign w:val="center"/>
            <w:hideMark/>
          </w:tcPr>
          <w:p w14:paraId="4BFA266B"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r w:rsidRPr="00263C50">
              <w:rPr>
                <w:rFonts w:ascii="Times New Roman" w:hAnsi="Times New Roman" w:cs="Times New Roman"/>
                <w:i/>
                <w:color w:val="000000"/>
                <w:sz w:val="15"/>
                <w:szCs w:val="15"/>
              </w:rPr>
              <w:t>Income</w:t>
            </w:r>
          </w:p>
        </w:tc>
        <w:tc>
          <w:tcPr>
            <w:tcW w:w="844" w:type="dxa"/>
            <w:tcBorders>
              <w:top w:val="nil"/>
              <w:left w:val="nil"/>
              <w:bottom w:val="nil"/>
              <w:right w:val="nil"/>
            </w:tcBorders>
            <w:shd w:val="clear" w:color="auto" w:fill="auto"/>
            <w:noWrap/>
            <w:vAlign w:val="center"/>
            <w:hideMark/>
          </w:tcPr>
          <w:p w14:paraId="56A0AF2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0.051</w:t>
            </w:r>
          </w:p>
        </w:tc>
        <w:tc>
          <w:tcPr>
            <w:tcW w:w="844" w:type="dxa"/>
            <w:tcBorders>
              <w:top w:val="nil"/>
              <w:left w:val="nil"/>
              <w:bottom w:val="nil"/>
              <w:right w:val="nil"/>
            </w:tcBorders>
            <w:shd w:val="clear" w:color="auto" w:fill="auto"/>
            <w:noWrap/>
            <w:vAlign w:val="center"/>
            <w:hideMark/>
          </w:tcPr>
          <w:p w14:paraId="6D6BAA8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-0.022</w:t>
            </w:r>
          </w:p>
        </w:tc>
        <w:tc>
          <w:tcPr>
            <w:tcW w:w="845" w:type="dxa"/>
            <w:tcBorders>
              <w:top w:val="nil"/>
              <w:left w:val="nil"/>
              <w:bottom w:val="nil"/>
              <w:right w:val="nil"/>
            </w:tcBorders>
            <w:shd w:val="clear" w:color="auto" w:fill="auto"/>
            <w:noWrap/>
            <w:vAlign w:val="center"/>
            <w:hideMark/>
          </w:tcPr>
          <w:p w14:paraId="5678FA1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0.0036</w:t>
            </w:r>
          </w:p>
        </w:tc>
        <w:tc>
          <w:tcPr>
            <w:tcW w:w="844" w:type="dxa"/>
            <w:tcBorders>
              <w:top w:val="nil"/>
              <w:left w:val="nil"/>
              <w:bottom w:val="nil"/>
              <w:right w:val="nil"/>
            </w:tcBorders>
            <w:shd w:val="clear" w:color="auto" w:fill="auto"/>
            <w:noWrap/>
            <w:vAlign w:val="center"/>
            <w:hideMark/>
          </w:tcPr>
          <w:p w14:paraId="7A1E4AE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-0.031</w:t>
            </w:r>
          </w:p>
        </w:tc>
        <w:tc>
          <w:tcPr>
            <w:tcW w:w="845" w:type="dxa"/>
            <w:tcBorders>
              <w:top w:val="nil"/>
              <w:left w:val="nil"/>
              <w:bottom w:val="nil"/>
              <w:right w:val="nil"/>
            </w:tcBorders>
            <w:shd w:val="clear" w:color="auto" w:fill="auto"/>
            <w:noWrap/>
            <w:vAlign w:val="center"/>
            <w:hideMark/>
          </w:tcPr>
          <w:p w14:paraId="772C228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0.030</w:t>
            </w:r>
          </w:p>
        </w:tc>
        <w:tc>
          <w:tcPr>
            <w:tcW w:w="844" w:type="dxa"/>
            <w:tcBorders>
              <w:top w:val="nil"/>
              <w:left w:val="nil"/>
              <w:bottom w:val="nil"/>
              <w:right w:val="nil"/>
            </w:tcBorders>
            <w:shd w:val="clear" w:color="auto" w:fill="auto"/>
            <w:noWrap/>
            <w:vAlign w:val="center"/>
            <w:hideMark/>
          </w:tcPr>
          <w:p w14:paraId="7335B89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-0.022</w:t>
            </w:r>
          </w:p>
        </w:tc>
        <w:tc>
          <w:tcPr>
            <w:tcW w:w="864" w:type="dxa"/>
            <w:tcBorders>
              <w:top w:val="nil"/>
              <w:left w:val="nil"/>
              <w:bottom w:val="nil"/>
              <w:right w:val="nil"/>
            </w:tcBorders>
            <w:shd w:val="clear" w:color="auto" w:fill="auto"/>
            <w:noWrap/>
            <w:vAlign w:val="center"/>
            <w:hideMark/>
          </w:tcPr>
          <w:p w14:paraId="6EF8269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0.0043</w:t>
            </w:r>
          </w:p>
        </w:tc>
        <w:tc>
          <w:tcPr>
            <w:tcW w:w="844" w:type="dxa"/>
            <w:tcBorders>
              <w:top w:val="nil"/>
              <w:left w:val="nil"/>
              <w:bottom w:val="nil"/>
              <w:right w:val="nil"/>
            </w:tcBorders>
            <w:shd w:val="clear" w:color="auto" w:fill="auto"/>
            <w:noWrap/>
            <w:vAlign w:val="center"/>
            <w:hideMark/>
          </w:tcPr>
          <w:p w14:paraId="40ED5AA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0.030</w:t>
            </w:r>
          </w:p>
        </w:tc>
        <w:tc>
          <w:tcPr>
            <w:tcW w:w="844" w:type="dxa"/>
            <w:tcBorders>
              <w:top w:val="nil"/>
              <w:left w:val="nil"/>
              <w:bottom w:val="nil"/>
              <w:right w:val="nil"/>
            </w:tcBorders>
            <w:shd w:val="clear" w:color="auto" w:fill="auto"/>
            <w:noWrap/>
            <w:vAlign w:val="center"/>
            <w:hideMark/>
          </w:tcPr>
          <w:p w14:paraId="6CBC875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0.025</w:t>
            </w:r>
          </w:p>
        </w:tc>
        <w:tc>
          <w:tcPr>
            <w:tcW w:w="845" w:type="dxa"/>
            <w:tcBorders>
              <w:top w:val="nil"/>
              <w:left w:val="nil"/>
              <w:bottom w:val="nil"/>
              <w:right w:val="nil"/>
            </w:tcBorders>
            <w:shd w:val="clear" w:color="auto" w:fill="auto"/>
            <w:noWrap/>
            <w:vAlign w:val="center"/>
            <w:hideMark/>
          </w:tcPr>
          <w:p w14:paraId="17A2304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-0.0017</w:t>
            </w:r>
          </w:p>
        </w:tc>
        <w:tc>
          <w:tcPr>
            <w:tcW w:w="844" w:type="dxa"/>
            <w:tcBorders>
              <w:top w:val="nil"/>
              <w:left w:val="nil"/>
              <w:bottom w:val="nil"/>
              <w:right w:val="nil"/>
            </w:tcBorders>
            <w:shd w:val="clear" w:color="auto" w:fill="auto"/>
            <w:noWrap/>
            <w:vAlign w:val="center"/>
            <w:hideMark/>
          </w:tcPr>
          <w:p w14:paraId="442251C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0.00044</w:t>
            </w:r>
          </w:p>
        </w:tc>
        <w:tc>
          <w:tcPr>
            <w:tcW w:w="845" w:type="dxa"/>
            <w:tcBorders>
              <w:top w:val="nil"/>
              <w:left w:val="nil"/>
              <w:bottom w:val="nil"/>
              <w:right w:val="nil"/>
            </w:tcBorders>
            <w:shd w:val="clear" w:color="auto" w:fill="auto"/>
            <w:noWrap/>
            <w:vAlign w:val="center"/>
            <w:hideMark/>
          </w:tcPr>
          <w:p w14:paraId="73A83E8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-0.020</w:t>
            </w:r>
          </w:p>
        </w:tc>
        <w:tc>
          <w:tcPr>
            <w:tcW w:w="844" w:type="dxa"/>
            <w:tcBorders>
              <w:top w:val="nil"/>
              <w:left w:val="nil"/>
              <w:bottom w:val="nil"/>
              <w:right w:val="nil"/>
            </w:tcBorders>
            <w:shd w:val="clear" w:color="auto" w:fill="auto"/>
            <w:noWrap/>
            <w:vAlign w:val="center"/>
            <w:hideMark/>
          </w:tcPr>
          <w:p w14:paraId="18735E7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0.049</w:t>
            </w:r>
          </w:p>
        </w:tc>
        <w:tc>
          <w:tcPr>
            <w:tcW w:w="845" w:type="dxa"/>
            <w:tcBorders>
              <w:top w:val="nil"/>
              <w:left w:val="nil"/>
              <w:bottom w:val="nil"/>
              <w:right w:val="nil"/>
            </w:tcBorders>
            <w:shd w:val="clear" w:color="auto" w:fill="auto"/>
            <w:noWrap/>
            <w:vAlign w:val="center"/>
            <w:hideMark/>
          </w:tcPr>
          <w:p w14:paraId="1CFCCA1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-0.0063</w:t>
            </w:r>
          </w:p>
        </w:tc>
      </w:tr>
      <w:tr w:rsidR="0089544F" w:rsidRPr="00263C50" w14:paraId="06820542" w14:textId="77777777" w:rsidTr="005668E0">
        <w:trPr>
          <w:trHeight w:val="20"/>
        </w:trPr>
        <w:tc>
          <w:tcPr>
            <w:tcW w:w="1008" w:type="dxa"/>
            <w:tcBorders>
              <w:top w:val="nil"/>
              <w:left w:val="nil"/>
              <w:bottom w:val="nil"/>
              <w:right w:val="nil"/>
            </w:tcBorders>
            <w:shd w:val="clear" w:color="auto" w:fill="auto"/>
            <w:noWrap/>
            <w:vAlign w:val="center"/>
            <w:hideMark/>
          </w:tcPr>
          <w:p w14:paraId="6DB7B879"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p>
        </w:tc>
        <w:tc>
          <w:tcPr>
            <w:tcW w:w="844" w:type="dxa"/>
            <w:tcBorders>
              <w:top w:val="nil"/>
              <w:left w:val="nil"/>
              <w:bottom w:val="nil"/>
              <w:right w:val="nil"/>
            </w:tcBorders>
            <w:shd w:val="clear" w:color="auto" w:fill="auto"/>
            <w:noWrap/>
            <w:vAlign w:val="center"/>
            <w:hideMark/>
          </w:tcPr>
          <w:p w14:paraId="3C2CEC0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(1.35)</w:t>
            </w:r>
          </w:p>
        </w:tc>
        <w:tc>
          <w:tcPr>
            <w:tcW w:w="844" w:type="dxa"/>
            <w:tcBorders>
              <w:top w:val="nil"/>
              <w:left w:val="nil"/>
              <w:bottom w:val="nil"/>
              <w:right w:val="nil"/>
            </w:tcBorders>
            <w:shd w:val="clear" w:color="auto" w:fill="auto"/>
            <w:noWrap/>
            <w:vAlign w:val="center"/>
            <w:hideMark/>
          </w:tcPr>
          <w:p w14:paraId="2266812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(-0.74)</w:t>
            </w:r>
          </w:p>
        </w:tc>
        <w:tc>
          <w:tcPr>
            <w:tcW w:w="845" w:type="dxa"/>
            <w:tcBorders>
              <w:top w:val="nil"/>
              <w:left w:val="nil"/>
              <w:bottom w:val="nil"/>
              <w:right w:val="nil"/>
            </w:tcBorders>
            <w:shd w:val="clear" w:color="auto" w:fill="auto"/>
            <w:noWrap/>
            <w:vAlign w:val="center"/>
            <w:hideMark/>
          </w:tcPr>
          <w:p w14:paraId="5175CE7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(0.095)</w:t>
            </w:r>
          </w:p>
        </w:tc>
        <w:tc>
          <w:tcPr>
            <w:tcW w:w="844" w:type="dxa"/>
            <w:tcBorders>
              <w:top w:val="nil"/>
              <w:left w:val="nil"/>
              <w:bottom w:val="nil"/>
              <w:right w:val="nil"/>
            </w:tcBorders>
            <w:shd w:val="clear" w:color="auto" w:fill="auto"/>
            <w:noWrap/>
            <w:vAlign w:val="center"/>
            <w:hideMark/>
          </w:tcPr>
          <w:p w14:paraId="2F7EC3D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(-0.97)</w:t>
            </w:r>
          </w:p>
        </w:tc>
        <w:tc>
          <w:tcPr>
            <w:tcW w:w="845" w:type="dxa"/>
            <w:tcBorders>
              <w:top w:val="nil"/>
              <w:left w:val="nil"/>
              <w:bottom w:val="nil"/>
              <w:right w:val="nil"/>
            </w:tcBorders>
            <w:shd w:val="clear" w:color="auto" w:fill="auto"/>
            <w:noWrap/>
            <w:vAlign w:val="center"/>
            <w:hideMark/>
          </w:tcPr>
          <w:p w14:paraId="2D2CA8D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(1.08)</w:t>
            </w:r>
          </w:p>
        </w:tc>
        <w:tc>
          <w:tcPr>
            <w:tcW w:w="844" w:type="dxa"/>
            <w:tcBorders>
              <w:top w:val="nil"/>
              <w:left w:val="nil"/>
              <w:bottom w:val="nil"/>
              <w:right w:val="nil"/>
            </w:tcBorders>
            <w:shd w:val="clear" w:color="auto" w:fill="auto"/>
            <w:noWrap/>
            <w:vAlign w:val="center"/>
            <w:hideMark/>
          </w:tcPr>
          <w:p w14:paraId="2555F26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(-0.70)</w:t>
            </w:r>
          </w:p>
        </w:tc>
        <w:tc>
          <w:tcPr>
            <w:tcW w:w="864" w:type="dxa"/>
            <w:tcBorders>
              <w:top w:val="nil"/>
              <w:left w:val="nil"/>
              <w:bottom w:val="nil"/>
              <w:right w:val="nil"/>
            </w:tcBorders>
            <w:shd w:val="clear" w:color="auto" w:fill="auto"/>
            <w:noWrap/>
            <w:vAlign w:val="center"/>
            <w:hideMark/>
          </w:tcPr>
          <w:p w14:paraId="6D406ED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(0.16)</w:t>
            </w:r>
          </w:p>
        </w:tc>
        <w:tc>
          <w:tcPr>
            <w:tcW w:w="844" w:type="dxa"/>
            <w:tcBorders>
              <w:top w:val="nil"/>
              <w:left w:val="nil"/>
              <w:bottom w:val="nil"/>
              <w:right w:val="nil"/>
            </w:tcBorders>
            <w:shd w:val="clear" w:color="auto" w:fill="auto"/>
            <w:noWrap/>
            <w:vAlign w:val="center"/>
            <w:hideMark/>
          </w:tcPr>
          <w:p w14:paraId="5BEA2F9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(0.81)</w:t>
            </w:r>
          </w:p>
        </w:tc>
        <w:tc>
          <w:tcPr>
            <w:tcW w:w="844" w:type="dxa"/>
            <w:tcBorders>
              <w:top w:val="nil"/>
              <w:left w:val="nil"/>
              <w:bottom w:val="nil"/>
              <w:right w:val="nil"/>
            </w:tcBorders>
            <w:shd w:val="clear" w:color="auto" w:fill="auto"/>
            <w:noWrap/>
            <w:vAlign w:val="center"/>
            <w:hideMark/>
          </w:tcPr>
          <w:p w14:paraId="42316257"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(0.76)</w:t>
            </w:r>
          </w:p>
        </w:tc>
        <w:tc>
          <w:tcPr>
            <w:tcW w:w="845" w:type="dxa"/>
            <w:tcBorders>
              <w:top w:val="nil"/>
              <w:left w:val="nil"/>
              <w:bottom w:val="nil"/>
              <w:right w:val="nil"/>
            </w:tcBorders>
            <w:shd w:val="clear" w:color="auto" w:fill="auto"/>
            <w:noWrap/>
            <w:vAlign w:val="center"/>
            <w:hideMark/>
          </w:tcPr>
          <w:p w14:paraId="7B96884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(-0.043)</w:t>
            </w:r>
          </w:p>
        </w:tc>
        <w:tc>
          <w:tcPr>
            <w:tcW w:w="844" w:type="dxa"/>
            <w:tcBorders>
              <w:top w:val="nil"/>
              <w:left w:val="nil"/>
              <w:bottom w:val="nil"/>
              <w:right w:val="nil"/>
            </w:tcBorders>
            <w:shd w:val="clear" w:color="auto" w:fill="auto"/>
            <w:noWrap/>
            <w:vAlign w:val="center"/>
            <w:hideMark/>
          </w:tcPr>
          <w:p w14:paraId="58F81D5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(0.014)</w:t>
            </w:r>
          </w:p>
        </w:tc>
        <w:tc>
          <w:tcPr>
            <w:tcW w:w="845" w:type="dxa"/>
            <w:tcBorders>
              <w:top w:val="nil"/>
              <w:left w:val="nil"/>
              <w:bottom w:val="nil"/>
              <w:right w:val="nil"/>
            </w:tcBorders>
            <w:shd w:val="clear" w:color="auto" w:fill="auto"/>
            <w:noWrap/>
            <w:vAlign w:val="center"/>
            <w:hideMark/>
          </w:tcPr>
          <w:p w14:paraId="418A2F9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(-0.50)</w:t>
            </w:r>
          </w:p>
        </w:tc>
        <w:tc>
          <w:tcPr>
            <w:tcW w:w="844" w:type="dxa"/>
            <w:tcBorders>
              <w:top w:val="nil"/>
              <w:left w:val="nil"/>
              <w:bottom w:val="nil"/>
              <w:right w:val="nil"/>
            </w:tcBorders>
            <w:shd w:val="clear" w:color="auto" w:fill="auto"/>
            <w:noWrap/>
            <w:vAlign w:val="center"/>
            <w:hideMark/>
          </w:tcPr>
          <w:p w14:paraId="6D510C1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(1.54)</w:t>
            </w:r>
          </w:p>
        </w:tc>
        <w:tc>
          <w:tcPr>
            <w:tcW w:w="845" w:type="dxa"/>
            <w:tcBorders>
              <w:top w:val="nil"/>
              <w:left w:val="nil"/>
              <w:bottom w:val="nil"/>
              <w:right w:val="nil"/>
            </w:tcBorders>
            <w:shd w:val="clear" w:color="auto" w:fill="auto"/>
            <w:noWrap/>
            <w:vAlign w:val="center"/>
            <w:hideMark/>
          </w:tcPr>
          <w:p w14:paraId="5949FD2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(-0.16)</w:t>
            </w:r>
          </w:p>
        </w:tc>
      </w:tr>
      <w:tr w:rsidR="0089544F" w:rsidRPr="00263C50" w14:paraId="36E90BA3" w14:textId="77777777" w:rsidTr="005668E0">
        <w:trPr>
          <w:trHeight w:val="20"/>
        </w:trPr>
        <w:tc>
          <w:tcPr>
            <w:tcW w:w="1008" w:type="dxa"/>
            <w:tcBorders>
              <w:top w:val="nil"/>
              <w:left w:val="nil"/>
              <w:bottom w:val="nil"/>
              <w:right w:val="nil"/>
            </w:tcBorders>
            <w:shd w:val="clear" w:color="auto" w:fill="auto"/>
            <w:noWrap/>
            <w:vAlign w:val="center"/>
            <w:hideMark/>
          </w:tcPr>
          <w:p w14:paraId="45107604" w14:textId="77777777" w:rsidR="0089544F" w:rsidRPr="00263C50" w:rsidRDefault="0089544F" w:rsidP="00186583">
            <w:pPr>
              <w:rPr>
                <w:rFonts w:ascii="Times New Roman" w:eastAsia="Times New Roman" w:hAnsi="Times New Roman" w:cs="Times New Roman"/>
                <w:i/>
                <w:iCs/>
                <w:color w:val="000000"/>
                <w:sz w:val="15"/>
                <w:szCs w:val="15"/>
                <w:lang w:val="en-US" w:eastAsia="zh-TW"/>
              </w:rPr>
            </w:pPr>
            <w:r w:rsidRPr="00263C50">
              <w:rPr>
                <w:rFonts w:ascii="Times New Roman" w:eastAsia="Times New Roman" w:hAnsi="Times New Roman" w:cs="Times New Roman"/>
                <w:i/>
                <w:color w:val="000000"/>
                <w:sz w:val="15"/>
                <w:szCs w:val="15"/>
                <w:lang w:val="en-US" w:eastAsia="zh-TW"/>
              </w:rPr>
              <w:t>Constant</w:t>
            </w:r>
          </w:p>
        </w:tc>
        <w:tc>
          <w:tcPr>
            <w:tcW w:w="844" w:type="dxa"/>
            <w:tcBorders>
              <w:top w:val="nil"/>
              <w:left w:val="nil"/>
              <w:bottom w:val="nil"/>
              <w:right w:val="nil"/>
            </w:tcBorders>
            <w:shd w:val="clear" w:color="auto" w:fill="auto"/>
            <w:noWrap/>
            <w:vAlign w:val="center"/>
            <w:hideMark/>
          </w:tcPr>
          <w:p w14:paraId="238C446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-0.33</w:t>
            </w:r>
          </w:p>
        </w:tc>
        <w:tc>
          <w:tcPr>
            <w:tcW w:w="844" w:type="dxa"/>
            <w:tcBorders>
              <w:top w:val="nil"/>
              <w:left w:val="nil"/>
              <w:bottom w:val="nil"/>
              <w:right w:val="nil"/>
            </w:tcBorders>
            <w:shd w:val="clear" w:color="auto" w:fill="auto"/>
            <w:noWrap/>
            <w:vAlign w:val="center"/>
            <w:hideMark/>
          </w:tcPr>
          <w:p w14:paraId="5729122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-0.17</w:t>
            </w:r>
          </w:p>
        </w:tc>
        <w:tc>
          <w:tcPr>
            <w:tcW w:w="845" w:type="dxa"/>
            <w:tcBorders>
              <w:top w:val="nil"/>
              <w:left w:val="nil"/>
              <w:bottom w:val="nil"/>
              <w:right w:val="nil"/>
            </w:tcBorders>
            <w:shd w:val="clear" w:color="auto" w:fill="auto"/>
            <w:noWrap/>
            <w:vAlign w:val="center"/>
            <w:hideMark/>
          </w:tcPr>
          <w:p w14:paraId="5DAA9A9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-0.11</w:t>
            </w:r>
          </w:p>
        </w:tc>
        <w:tc>
          <w:tcPr>
            <w:tcW w:w="844" w:type="dxa"/>
            <w:tcBorders>
              <w:top w:val="nil"/>
              <w:left w:val="nil"/>
              <w:bottom w:val="nil"/>
              <w:right w:val="nil"/>
            </w:tcBorders>
            <w:shd w:val="clear" w:color="auto" w:fill="auto"/>
            <w:noWrap/>
            <w:vAlign w:val="center"/>
            <w:hideMark/>
          </w:tcPr>
          <w:p w14:paraId="74F8873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-0.45**</w:t>
            </w:r>
          </w:p>
        </w:tc>
        <w:tc>
          <w:tcPr>
            <w:tcW w:w="845" w:type="dxa"/>
            <w:tcBorders>
              <w:top w:val="nil"/>
              <w:left w:val="nil"/>
              <w:bottom w:val="nil"/>
              <w:right w:val="nil"/>
            </w:tcBorders>
            <w:shd w:val="clear" w:color="auto" w:fill="auto"/>
            <w:noWrap/>
            <w:vAlign w:val="center"/>
            <w:hideMark/>
          </w:tcPr>
          <w:p w14:paraId="7D67267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-0.16</w:t>
            </w:r>
          </w:p>
        </w:tc>
        <w:tc>
          <w:tcPr>
            <w:tcW w:w="844" w:type="dxa"/>
            <w:tcBorders>
              <w:top w:val="nil"/>
              <w:left w:val="nil"/>
              <w:bottom w:val="nil"/>
              <w:right w:val="nil"/>
            </w:tcBorders>
            <w:shd w:val="clear" w:color="auto" w:fill="auto"/>
            <w:noWrap/>
            <w:vAlign w:val="center"/>
            <w:hideMark/>
          </w:tcPr>
          <w:p w14:paraId="793B579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-0.44***</w:t>
            </w:r>
          </w:p>
        </w:tc>
        <w:tc>
          <w:tcPr>
            <w:tcW w:w="864" w:type="dxa"/>
            <w:tcBorders>
              <w:top w:val="nil"/>
              <w:left w:val="nil"/>
              <w:bottom w:val="nil"/>
              <w:right w:val="nil"/>
            </w:tcBorders>
            <w:shd w:val="clear" w:color="auto" w:fill="auto"/>
            <w:noWrap/>
            <w:vAlign w:val="center"/>
            <w:hideMark/>
          </w:tcPr>
          <w:p w14:paraId="749CADF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0.43*</w:t>
            </w:r>
          </w:p>
        </w:tc>
        <w:tc>
          <w:tcPr>
            <w:tcW w:w="844" w:type="dxa"/>
            <w:tcBorders>
              <w:top w:val="nil"/>
              <w:left w:val="nil"/>
              <w:bottom w:val="nil"/>
              <w:right w:val="nil"/>
            </w:tcBorders>
            <w:shd w:val="clear" w:color="auto" w:fill="auto"/>
            <w:noWrap/>
            <w:vAlign w:val="center"/>
            <w:hideMark/>
          </w:tcPr>
          <w:p w14:paraId="39CA189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-0.30</w:t>
            </w:r>
          </w:p>
        </w:tc>
        <w:tc>
          <w:tcPr>
            <w:tcW w:w="844" w:type="dxa"/>
            <w:tcBorders>
              <w:top w:val="nil"/>
              <w:left w:val="nil"/>
              <w:bottom w:val="nil"/>
              <w:right w:val="nil"/>
            </w:tcBorders>
            <w:shd w:val="clear" w:color="auto" w:fill="auto"/>
            <w:noWrap/>
            <w:vAlign w:val="center"/>
            <w:hideMark/>
          </w:tcPr>
          <w:p w14:paraId="191F616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0.24</w:t>
            </w:r>
          </w:p>
        </w:tc>
        <w:tc>
          <w:tcPr>
            <w:tcW w:w="845" w:type="dxa"/>
            <w:tcBorders>
              <w:top w:val="nil"/>
              <w:left w:val="nil"/>
              <w:bottom w:val="nil"/>
              <w:right w:val="nil"/>
            </w:tcBorders>
            <w:shd w:val="clear" w:color="auto" w:fill="auto"/>
            <w:noWrap/>
            <w:vAlign w:val="center"/>
            <w:hideMark/>
          </w:tcPr>
          <w:p w14:paraId="63E89DD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-0.40**</w:t>
            </w:r>
          </w:p>
        </w:tc>
        <w:tc>
          <w:tcPr>
            <w:tcW w:w="844" w:type="dxa"/>
            <w:tcBorders>
              <w:top w:val="nil"/>
              <w:left w:val="nil"/>
              <w:bottom w:val="nil"/>
              <w:right w:val="nil"/>
            </w:tcBorders>
            <w:shd w:val="clear" w:color="auto" w:fill="auto"/>
            <w:noWrap/>
            <w:vAlign w:val="center"/>
            <w:hideMark/>
          </w:tcPr>
          <w:p w14:paraId="6DFCDAE9"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0.049</w:t>
            </w:r>
          </w:p>
        </w:tc>
        <w:tc>
          <w:tcPr>
            <w:tcW w:w="845" w:type="dxa"/>
            <w:tcBorders>
              <w:top w:val="nil"/>
              <w:left w:val="nil"/>
              <w:bottom w:val="nil"/>
              <w:right w:val="nil"/>
            </w:tcBorders>
            <w:shd w:val="clear" w:color="auto" w:fill="auto"/>
            <w:noWrap/>
            <w:vAlign w:val="center"/>
            <w:hideMark/>
          </w:tcPr>
          <w:p w14:paraId="1866FC4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0.096</w:t>
            </w:r>
          </w:p>
        </w:tc>
        <w:tc>
          <w:tcPr>
            <w:tcW w:w="844" w:type="dxa"/>
            <w:tcBorders>
              <w:top w:val="nil"/>
              <w:left w:val="nil"/>
              <w:bottom w:val="nil"/>
              <w:right w:val="nil"/>
            </w:tcBorders>
            <w:shd w:val="clear" w:color="auto" w:fill="auto"/>
            <w:noWrap/>
            <w:vAlign w:val="center"/>
            <w:hideMark/>
          </w:tcPr>
          <w:p w14:paraId="41E81AC3"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-0.20</w:t>
            </w:r>
          </w:p>
        </w:tc>
        <w:tc>
          <w:tcPr>
            <w:tcW w:w="845" w:type="dxa"/>
            <w:tcBorders>
              <w:top w:val="nil"/>
              <w:left w:val="nil"/>
              <w:bottom w:val="nil"/>
              <w:right w:val="nil"/>
            </w:tcBorders>
            <w:shd w:val="clear" w:color="auto" w:fill="auto"/>
            <w:noWrap/>
            <w:vAlign w:val="center"/>
            <w:hideMark/>
          </w:tcPr>
          <w:p w14:paraId="005779D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-0.31*</w:t>
            </w:r>
          </w:p>
        </w:tc>
      </w:tr>
      <w:tr w:rsidR="0089544F" w:rsidRPr="00263C50" w14:paraId="76F3D1EC" w14:textId="77777777" w:rsidTr="005668E0">
        <w:trPr>
          <w:trHeight w:val="20"/>
        </w:trPr>
        <w:tc>
          <w:tcPr>
            <w:tcW w:w="1008" w:type="dxa"/>
            <w:tcBorders>
              <w:top w:val="nil"/>
              <w:left w:val="nil"/>
              <w:bottom w:val="nil"/>
              <w:right w:val="nil"/>
            </w:tcBorders>
            <w:shd w:val="clear" w:color="auto" w:fill="auto"/>
            <w:noWrap/>
            <w:vAlign w:val="center"/>
            <w:hideMark/>
          </w:tcPr>
          <w:p w14:paraId="25703559" w14:textId="77777777" w:rsidR="0089544F" w:rsidRPr="00263C50" w:rsidRDefault="0089544F" w:rsidP="00186583">
            <w:pPr>
              <w:rPr>
                <w:rFonts w:ascii="Times New Roman" w:eastAsia="Times New Roman" w:hAnsi="Times New Roman" w:cs="Times New Roman"/>
                <w:color w:val="000000"/>
                <w:sz w:val="15"/>
                <w:szCs w:val="15"/>
                <w:lang w:val="en-US" w:eastAsia="zh-TW"/>
              </w:rPr>
            </w:pPr>
          </w:p>
        </w:tc>
        <w:tc>
          <w:tcPr>
            <w:tcW w:w="844" w:type="dxa"/>
            <w:tcBorders>
              <w:top w:val="nil"/>
              <w:left w:val="nil"/>
              <w:bottom w:val="nil"/>
              <w:right w:val="nil"/>
            </w:tcBorders>
            <w:shd w:val="clear" w:color="auto" w:fill="auto"/>
            <w:noWrap/>
            <w:vAlign w:val="center"/>
            <w:hideMark/>
          </w:tcPr>
          <w:p w14:paraId="5CBB63F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(-1.63)</w:t>
            </w:r>
          </w:p>
        </w:tc>
        <w:tc>
          <w:tcPr>
            <w:tcW w:w="844" w:type="dxa"/>
            <w:tcBorders>
              <w:top w:val="nil"/>
              <w:left w:val="nil"/>
              <w:bottom w:val="nil"/>
              <w:right w:val="nil"/>
            </w:tcBorders>
            <w:shd w:val="clear" w:color="auto" w:fill="auto"/>
            <w:noWrap/>
            <w:vAlign w:val="center"/>
            <w:hideMark/>
          </w:tcPr>
          <w:p w14:paraId="1BF78D6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(-1.06)</w:t>
            </w:r>
          </w:p>
        </w:tc>
        <w:tc>
          <w:tcPr>
            <w:tcW w:w="845" w:type="dxa"/>
            <w:tcBorders>
              <w:top w:val="nil"/>
              <w:left w:val="nil"/>
              <w:bottom w:val="nil"/>
              <w:right w:val="nil"/>
            </w:tcBorders>
            <w:shd w:val="clear" w:color="auto" w:fill="auto"/>
            <w:noWrap/>
            <w:vAlign w:val="center"/>
            <w:hideMark/>
          </w:tcPr>
          <w:p w14:paraId="02F917A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(-0.68)</w:t>
            </w:r>
          </w:p>
        </w:tc>
        <w:tc>
          <w:tcPr>
            <w:tcW w:w="844" w:type="dxa"/>
            <w:tcBorders>
              <w:top w:val="nil"/>
              <w:left w:val="nil"/>
              <w:bottom w:val="nil"/>
              <w:right w:val="nil"/>
            </w:tcBorders>
            <w:shd w:val="clear" w:color="auto" w:fill="auto"/>
            <w:noWrap/>
            <w:vAlign w:val="center"/>
            <w:hideMark/>
          </w:tcPr>
          <w:p w14:paraId="290DADC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(-2.57)</w:t>
            </w:r>
          </w:p>
        </w:tc>
        <w:tc>
          <w:tcPr>
            <w:tcW w:w="845" w:type="dxa"/>
            <w:tcBorders>
              <w:top w:val="nil"/>
              <w:left w:val="nil"/>
              <w:bottom w:val="nil"/>
              <w:right w:val="nil"/>
            </w:tcBorders>
            <w:shd w:val="clear" w:color="auto" w:fill="auto"/>
            <w:noWrap/>
            <w:vAlign w:val="center"/>
            <w:hideMark/>
          </w:tcPr>
          <w:p w14:paraId="0CD056A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(-1.03)</w:t>
            </w:r>
          </w:p>
        </w:tc>
        <w:tc>
          <w:tcPr>
            <w:tcW w:w="844" w:type="dxa"/>
            <w:tcBorders>
              <w:top w:val="nil"/>
              <w:left w:val="nil"/>
              <w:bottom w:val="nil"/>
              <w:right w:val="nil"/>
            </w:tcBorders>
            <w:shd w:val="clear" w:color="auto" w:fill="auto"/>
            <w:noWrap/>
            <w:vAlign w:val="center"/>
            <w:hideMark/>
          </w:tcPr>
          <w:p w14:paraId="2F9A223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(-2.91)</w:t>
            </w:r>
          </w:p>
        </w:tc>
        <w:tc>
          <w:tcPr>
            <w:tcW w:w="864" w:type="dxa"/>
            <w:tcBorders>
              <w:top w:val="nil"/>
              <w:left w:val="nil"/>
              <w:bottom w:val="nil"/>
              <w:right w:val="nil"/>
            </w:tcBorders>
            <w:shd w:val="clear" w:color="auto" w:fill="auto"/>
            <w:noWrap/>
            <w:vAlign w:val="center"/>
            <w:hideMark/>
          </w:tcPr>
          <w:p w14:paraId="471F32A8"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(1.74)</w:t>
            </w:r>
          </w:p>
        </w:tc>
        <w:tc>
          <w:tcPr>
            <w:tcW w:w="844" w:type="dxa"/>
            <w:tcBorders>
              <w:top w:val="nil"/>
              <w:left w:val="nil"/>
              <w:bottom w:val="nil"/>
              <w:right w:val="nil"/>
            </w:tcBorders>
            <w:shd w:val="clear" w:color="auto" w:fill="auto"/>
            <w:noWrap/>
            <w:vAlign w:val="center"/>
            <w:hideMark/>
          </w:tcPr>
          <w:p w14:paraId="12E723F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(-1.63)</w:t>
            </w:r>
          </w:p>
        </w:tc>
        <w:tc>
          <w:tcPr>
            <w:tcW w:w="844" w:type="dxa"/>
            <w:tcBorders>
              <w:top w:val="nil"/>
              <w:left w:val="nil"/>
              <w:bottom w:val="nil"/>
              <w:right w:val="nil"/>
            </w:tcBorders>
            <w:shd w:val="clear" w:color="auto" w:fill="auto"/>
            <w:noWrap/>
            <w:vAlign w:val="center"/>
            <w:hideMark/>
          </w:tcPr>
          <w:p w14:paraId="485C42ED"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(0.88)</w:t>
            </w:r>
          </w:p>
        </w:tc>
        <w:tc>
          <w:tcPr>
            <w:tcW w:w="845" w:type="dxa"/>
            <w:tcBorders>
              <w:top w:val="nil"/>
              <w:left w:val="nil"/>
              <w:bottom w:val="nil"/>
              <w:right w:val="nil"/>
            </w:tcBorders>
            <w:shd w:val="clear" w:color="auto" w:fill="auto"/>
            <w:noWrap/>
            <w:vAlign w:val="center"/>
            <w:hideMark/>
          </w:tcPr>
          <w:p w14:paraId="168069C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(-2.23)</w:t>
            </w:r>
          </w:p>
        </w:tc>
        <w:tc>
          <w:tcPr>
            <w:tcW w:w="844" w:type="dxa"/>
            <w:tcBorders>
              <w:top w:val="nil"/>
              <w:left w:val="nil"/>
              <w:bottom w:val="nil"/>
              <w:right w:val="nil"/>
            </w:tcBorders>
            <w:shd w:val="clear" w:color="auto" w:fill="auto"/>
            <w:noWrap/>
            <w:vAlign w:val="center"/>
            <w:hideMark/>
          </w:tcPr>
          <w:p w14:paraId="5766851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(0.34)</w:t>
            </w:r>
          </w:p>
        </w:tc>
        <w:tc>
          <w:tcPr>
            <w:tcW w:w="845" w:type="dxa"/>
            <w:tcBorders>
              <w:top w:val="nil"/>
              <w:left w:val="nil"/>
              <w:bottom w:val="nil"/>
              <w:right w:val="nil"/>
            </w:tcBorders>
            <w:shd w:val="clear" w:color="auto" w:fill="auto"/>
            <w:noWrap/>
            <w:vAlign w:val="center"/>
            <w:hideMark/>
          </w:tcPr>
          <w:p w14:paraId="130C3A4B"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(0.57)</w:t>
            </w:r>
          </w:p>
        </w:tc>
        <w:tc>
          <w:tcPr>
            <w:tcW w:w="844" w:type="dxa"/>
            <w:tcBorders>
              <w:top w:val="nil"/>
              <w:left w:val="nil"/>
              <w:bottom w:val="nil"/>
              <w:right w:val="nil"/>
            </w:tcBorders>
            <w:shd w:val="clear" w:color="auto" w:fill="auto"/>
            <w:noWrap/>
            <w:vAlign w:val="center"/>
            <w:hideMark/>
          </w:tcPr>
          <w:p w14:paraId="5725038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(-1.17)</w:t>
            </w:r>
          </w:p>
        </w:tc>
        <w:tc>
          <w:tcPr>
            <w:tcW w:w="845" w:type="dxa"/>
            <w:tcBorders>
              <w:top w:val="nil"/>
              <w:left w:val="nil"/>
              <w:bottom w:val="nil"/>
              <w:right w:val="nil"/>
            </w:tcBorders>
            <w:shd w:val="clear" w:color="auto" w:fill="auto"/>
            <w:noWrap/>
            <w:vAlign w:val="center"/>
            <w:hideMark/>
          </w:tcPr>
          <w:p w14:paraId="4205E37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color w:val="000000"/>
                <w:sz w:val="15"/>
                <w:szCs w:val="15"/>
              </w:rPr>
              <w:t>(-1.72)</w:t>
            </w:r>
          </w:p>
        </w:tc>
      </w:tr>
      <w:tr w:rsidR="0089544F" w:rsidRPr="00263C50" w14:paraId="2B0C1601" w14:textId="77777777" w:rsidTr="005668E0">
        <w:trPr>
          <w:trHeight w:val="20"/>
        </w:trPr>
        <w:tc>
          <w:tcPr>
            <w:tcW w:w="1008" w:type="dxa"/>
            <w:tcBorders>
              <w:top w:val="nil"/>
              <w:left w:val="nil"/>
              <w:right w:val="nil"/>
            </w:tcBorders>
            <w:shd w:val="clear" w:color="auto" w:fill="auto"/>
            <w:noWrap/>
            <w:vAlign w:val="center"/>
          </w:tcPr>
          <w:p w14:paraId="02C94373" w14:textId="77777777" w:rsidR="0089544F" w:rsidRPr="00263C50" w:rsidRDefault="0089544F" w:rsidP="00186583">
            <w:pPr>
              <w:rPr>
                <w:rFonts w:ascii="Times New Roman" w:hAnsi="Times New Roman" w:cs="Times New Roman"/>
                <w:sz w:val="15"/>
                <w:szCs w:val="15"/>
                <w:lang w:val="en-US"/>
              </w:rPr>
            </w:pPr>
          </w:p>
        </w:tc>
        <w:tc>
          <w:tcPr>
            <w:tcW w:w="844" w:type="dxa"/>
            <w:tcBorders>
              <w:top w:val="nil"/>
              <w:left w:val="nil"/>
              <w:right w:val="nil"/>
            </w:tcBorders>
            <w:shd w:val="clear" w:color="auto" w:fill="auto"/>
            <w:noWrap/>
            <w:vAlign w:val="center"/>
          </w:tcPr>
          <w:p w14:paraId="7E2D37DD" w14:textId="77777777" w:rsidR="0089544F" w:rsidRPr="00263C50" w:rsidRDefault="0089544F" w:rsidP="00186583">
            <w:pPr>
              <w:jc w:val="center"/>
              <w:rPr>
                <w:rFonts w:ascii="Times New Roman" w:hAnsi="Times New Roman" w:cs="Times New Roman"/>
                <w:sz w:val="15"/>
                <w:szCs w:val="15"/>
                <w:lang w:val="en-US"/>
              </w:rPr>
            </w:pPr>
          </w:p>
        </w:tc>
        <w:tc>
          <w:tcPr>
            <w:tcW w:w="844" w:type="dxa"/>
            <w:tcBorders>
              <w:top w:val="nil"/>
              <w:left w:val="nil"/>
              <w:right w:val="nil"/>
            </w:tcBorders>
            <w:shd w:val="clear" w:color="auto" w:fill="auto"/>
            <w:noWrap/>
          </w:tcPr>
          <w:p w14:paraId="27C5161F" w14:textId="77777777" w:rsidR="0089544F" w:rsidRPr="00263C50" w:rsidRDefault="0089544F" w:rsidP="00186583">
            <w:pPr>
              <w:jc w:val="center"/>
              <w:rPr>
                <w:rFonts w:ascii="Times New Roman" w:hAnsi="Times New Roman" w:cs="Times New Roman"/>
                <w:sz w:val="15"/>
                <w:szCs w:val="15"/>
                <w:lang w:val="en-US"/>
              </w:rPr>
            </w:pPr>
          </w:p>
        </w:tc>
        <w:tc>
          <w:tcPr>
            <w:tcW w:w="845" w:type="dxa"/>
            <w:tcBorders>
              <w:top w:val="nil"/>
              <w:left w:val="nil"/>
              <w:right w:val="nil"/>
            </w:tcBorders>
            <w:shd w:val="clear" w:color="auto" w:fill="auto"/>
            <w:noWrap/>
          </w:tcPr>
          <w:p w14:paraId="4EEE5EFB" w14:textId="77777777" w:rsidR="0089544F" w:rsidRPr="00263C50" w:rsidRDefault="0089544F" w:rsidP="00186583">
            <w:pPr>
              <w:jc w:val="center"/>
              <w:rPr>
                <w:rFonts w:ascii="Times New Roman" w:hAnsi="Times New Roman" w:cs="Times New Roman"/>
                <w:sz w:val="15"/>
                <w:szCs w:val="15"/>
                <w:lang w:val="en-US"/>
              </w:rPr>
            </w:pPr>
          </w:p>
        </w:tc>
        <w:tc>
          <w:tcPr>
            <w:tcW w:w="844" w:type="dxa"/>
            <w:tcBorders>
              <w:top w:val="nil"/>
              <w:left w:val="nil"/>
              <w:right w:val="nil"/>
            </w:tcBorders>
            <w:shd w:val="clear" w:color="auto" w:fill="auto"/>
            <w:noWrap/>
          </w:tcPr>
          <w:p w14:paraId="29BE941C" w14:textId="77777777" w:rsidR="0089544F" w:rsidRPr="00263C50" w:rsidRDefault="0089544F" w:rsidP="00186583">
            <w:pPr>
              <w:jc w:val="center"/>
              <w:rPr>
                <w:rFonts w:ascii="Times New Roman" w:hAnsi="Times New Roman" w:cs="Times New Roman"/>
                <w:sz w:val="15"/>
                <w:szCs w:val="15"/>
                <w:lang w:val="en-US"/>
              </w:rPr>
            </w:pPr>
          </w:p>
        </w:tc>
        <w:tc>
          <w:tcPr>
            <w:tcW w:w="845" w:type="dxa"/>
            <w:tcBorders>
              <w:top w:val="nil"/>
              <w:left w:val="nil"/>
              <w:right w:val="nil"/>
            </w:tcBorders>
            <w:shd w:val="clear" w:color="auto" w:fill="auto"/>
            <w:noWrap/>
          </w:tcPr>
          <w:p w14:paraId="0F44B03F" w14:textId="77777777" w:rsidR="0089544F" w:rsidRPr="00263C50" w:rsidRDefault="0089544F" w:rsidP="00186583">
            <w:pPr>
              <w:jc w:val="center"/>
              <w:rPr>
                <w:rFonts w:ascii="Times New Roman" w:hAnsi="Times New Roman" w:cs="Times New Roman"/>
                <w:sz w:val="15"/>
                <w:szCs w:val="15"/>
                <w:lang w:val="en-US"/>
              </w:rPr>
            </w:pPr>
          </w:p>
        </w:tc>
        <w:tc>
          <w:tcPr>
            <w:tcW w:w="844" w:type="dxa"/>
            <w:tcBorders>
              <w:top w:val="nil"/>
              <w:left w:val="nil"/>
              <w:right w:val="nil"/>
            </w:tcBorders>
            <w:shd w:val="clear" w:color="auto" w:fill="auto"/>
            <w:noWrap/>
          </w:tcPr>
          <w:p w14:paraId="592A0B98" w14:textId="77777777" w:rsidR="0089544F" w:rsidRPr="00263C50" w:rsidRDefault="0089544F" w:rsidP="00186583">
            <w:pPr>
              <w:jc w:val="center"/>
              <w:rPr>
                <w:rFonts w:ascii="Times New Roman" w:hAnsi="Times New Roman" w:cs="Times New Roman"/>
                <w:sz w:val="15"/>
                <w:szCs w:val="15"/>
                <w:lang w:val="en-US"/>
              </w:rPr>
            </w:pPr>
          </w:p>
        </w:tc>
        <w:tc>
          <w:tcPr>
            <w:tcW w:w="864" w:type="dxa"/>
            <w:tcBorders>
              <w:top w:val="nil"/>
              <w:left w:val="nil"/>
              <w:right w:val="nil"/>
            </w:tcBorders>
            <w:shd w:val="clear" w:color="auto" w:fill="auto"/>
            <w:noWrap/>
          </w:tcPr>
          <w:p w14:paraId="3D0BB497" w14:textId="77777777" w:rsidR="0089544F" w:rsidRPr="00263C50" w:rsidRDefault="0089544F" w:rsidP="00186583">
            <w:pPr>
              <w:jc w:val="center"/>
              <w:rPr>
                <w:rFonts w:ascii="Times New Roman" w:hAnsi="Times New Roman" w:cs="Times New Roman"/>
                <w:sz w:val="15"/>
                <w:szCs w:val="15"/>
                <w:lang w:val="en-US"/>
              </w:rPr>
            </w:pPr>
          </w:p>
        </w:tc>
        <w:tc>
          <w:tcPr>
            <w:tcW w:w="844" w:type="dxa"/>
            <w:tcBorders>
              <w:top w:val="nil"/>
              <w:left w:val="nil"/>
              <w:right w:val="nil"/>
            </w:tcBorders>
            <w:shd w:val="clear" w:color="auto" w:fill="auto"/>
            <w:noWrap/>
          </w:tcPr>
          <w:p w14:paraId="051BCDB1" w14:textId="77777777" w:rsidR="0089544F" w:rsidRPr="00263C50" w:rsidRDefault="0089544F" w:rsidP="00186583">
            <w:pPr>
              <w:jc w:val="center"/>
              <w:rPr>
                <w:rFonts w:ascii="Times New Roman" w:hAnsi="Times New Roman" w:cs="Times New Roman"/>
                <w:sz w:val="15"/>
                <w:szCs w:val="15"/>
                <w:lang w:val="en-US"/>
              </w:rPr>
            </w:pPr>
          </w:p>
        </w:tc>
        <w:tc>
          <w:tcPr>
            <w:tcW w:w="844" w:type="dxa"/>
            <w:tcBorders>
              <w:top w:val="nil"/>
              <w:left w:val="nil"/>
              <w:right w:val="nil"/>
            </w:tcBorders>
            <w:shd w:val="clear" w:color="auto" w:fill="auto"/>
            <w:noWrap/>
          </w:tcPr>
          <w:p w14:paraId="16AEA1B2" w14:textId="77777777" w:rsidR="0089544F" w:rsidRPr="00263C50" w:rsidRDefault="0089544F" w:rsidP="00186583">
            <w:pPr>
              <w:jc w:val="center"/>
              <w:rPr>
                <w:rFonts w:ascii="Times New Roman" w:hAnsi="Times New Roman" w:cs="Times New Roman"/>
                <w:sz w:val="15"/>
                <w:szCs w:val="15"/>
                <w:lang w:val="en-US"/>
              </w:rPr>
            </w:pPr>
          </w:p>
        </w:tc>
        <w:tc>
          <w:tcPr>
            <w:tcW w:w="845" w:type="dxa"/>
            <w:tcBorders>
              <w:top w:val="nil"/>
              <w:left w:val="nil"/>
              <w:right w:val="nil"/>
            </w:tcBorders>
            <w:shd w:val="clear" w:color="auto" w:fill="auto"/>
            <w:noWrap/>
          </w:tcPr>
          <w:p w14:paraId="447DEB73" w14:textId="77777777" w:rsidR="0089544F" w:rsidRPr="00263C50" w:rsidRDefault="0089544F" w:rsidP="00186583">
            <w:pPr>
              <w:jc w:val="center"/>
              <w:rPr>
                <w:rFonts w:ascii="Times New Roman" w:hAnsi="Times New Roman" w:cs="Times New Roman"/>
                <w:sz w:val="15"/>
                <w:szCs w:val="15"/>
                <w:lang w:val="en-US"/>
              </w:rPr>
            </w:pPr>
          </w:p>
        </w:tc>
        <w:tc>
          <w:tcPr>
            <w:tcW w:w="844" w:type="dxa"/>
            <w:tcBorders>
              <w:top w:val="nil"/>
              <w:left w:val="nil"/>
              <w:right w:val="nil"/>
            </w:tcBorders>
            <w:shd w:val="clear" w:color="auto" w:fill="auto"/>
            <w:noWrap/>
          </w:tcPr>
          <w:p w14:paraId="2DBE870D" w14:textId="77777777" w:rsidR="0089544F" w:rsidRPr="00263C50" w:rsidRDefault="0089544F" w:rsidP="00186583">
            <w:pPr>
              <w:jc w:val="center"/>
              <w:rPr>
                <w:rFonts w:ascii="Times New Roman" w:hAnsi="Times New Roman" w:cs="Times New Roman"/>
                <w:sz w:val="15"/>
                <w:szCs w:val="15"/>
                <w:lang w:val="en-US"/>
              </w:rPr>
            </w:pPr>
          </w:p>
        </w:tc>
        <w:tc>
          <w:tcPr>
            <w:tcW w:w="845" w:type="dxa"/>
            <w:tcBorders>
              <w:top w:val="nil"/>
              <w:left w:val="nil"/>
              <w:right w:val="nil"/>
            </w:tcBorders>
            <w:shd w:val="clear" w:color="auto" w:fill="auto"/>
            <w:noWrap/>
          </w:tcPr>
          <w:p w14:paraId="014FC343" w14:textId="77777777" w:rsidR="0089544F" w:rsidRPr="00263C50" w:rsidRDefault="0089544F" w:rsidP="00186583">
            <w:pPr>
              <w:jc w:val="center"/>
              <w:rPr>
                <w:rFonts w:ascii="Times New Roman" w:hAnsi="Times New Roman" w:cs="Times New Roman"/>
                <w:sz w:val="15"/>
                <w:szCs w:val="15"/>
                <w:lang w:val="en-US"/>
              </w:rPr>
            </w:pPr>
          </w:p>
        </w:tc>
        <w:tc>
          <w:tcPr>
            <w:tcW w:w="844" w:type="dxa"/>
            <w:tcBorders>
              <w:top w:val="nil"/>
              <w:left w:val="nil"/>
              <w:right w:val="nil"/>
            </w:tcBorders>
            <w:shd w:val="clear" w:color="auto" w:fill="auto"/>
            <w:noWrap/>
          </w:tcPr>
          <w:p w14:paraId="6C028407" w14:textId="77777777" w:rsidR="0089544F" w:rsidRPr="00263C50" w:rsidRDefault="0089544F" w:rsidP="00186583">
            <w:pPr>
              <w:jc w:val="center"/>
              <w:rPr>
                <w:rFonts w:ascii="Times New Roman" w:hAnsi="Times New Roman" w:cs="Times New Roman"/>
                <w:sz w:val="15"/>
                <w:szCs w:val="15"/>
                <w:lang w:val="en-US"/>
              </w:rPr>
            </w:pPr>
          </w:p>
        </w:tc>
        <w:tc>
          <w:tcPr>
            <w:tcW w:w="845" w:type="dxa"/>
            <w:tcBorders>
              <w:top w:val="nil"/>
              <w:left w:val="nil"/>
              <w:right w:val="nil"/>
            </w:tcBorders>
            <w:shd w:val="clear" w:color="auto" w:fill="auto"/>
            <w:noWrap/>
          </w:tcPr>
          <w:p w14:paraId="37900492" w14:textId="77777777" w:rsidR="0089544F" w:rsidRPr="00263C50" w:rsidRDefault="0089544F" w:rsidP="00186583">
            <w:pPr>
              <w:jc w:val="center"/>
              <w:rPr>
                <w:rFonts w:ascii="Times New Roman" w:hAnsi="Times New Roman" w:cs="Times New Roman"/>
                <w:sz w:val="15"/>
                <w:szCs w:val="15"/>
                <w:lang w:val="en-US"/>
              </w:rPr>
            </w:pPr>
          </w:p>
        </w:tc>
      </w:tr>
      <w:tr w:rsidR="0089544F" w:rsidRPr="00263C50" w14:paraId="7CDDBD44" w14:textId="77777777" w:rsidTr="005668E0">
        <w:trPr>
          <w:trHeight w:val="20"/>
        </w:trPr>
        <w:tc>
          <w:tcPr>
            <w:tcW w:w="1008" w:type="dxa"/>
            <w:tcBorders>
              <w:top w:val="nil"/>
              <w:left w:val="nil"/>
              <w:bottom w:val="single" w:sz="4" w:space="0" w:color="auto"/>
              <w:right w:val="nil"/>
            </w:tcBorders>
            <w:shd w:val="clear" w:color="auto" w:fill="auto"/>
            <w:noWrap/>
            <w:vAlign w:val="center"/>
            <w:hideMark/>
          </w:tcPr>
          <w:p w14:paraId="09B4EA5A" w14:textId="77777777" w:rsidR="0089544F" w:rsidRPr="00263C50" w:rsidRDefault="0089544F" w:rsidP="00186583">
            <w:pP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sz w:val="15"/>
                <w:szCs w:val="15"/>
                <w:lang w:val="en-US"/>
              </w:rPr>
              <w:t>No. of Obs.</w:t>
            </w:r>
          </w:p>
        </w:tc>
        <w:tc>
          <w:tcPr>
            <w:tcW w:w="844" w:type="dxa"/>
            <w:tcBorders>
              <w:top w:val="nil"/>
              <w:left w:val="nil"/>
              <w:bottom w:val="single" w:sz="4" w:space="0" w:color="auto"/>
              <w:right w:val="nil"/>
            </w:tcBorders>
            <w:shd w:val="clear" w:color="auto" w:fill="auto"/>
            <w:noWrap/>
            <w:vAlign w:val="center"/>
            <w:hideMark/>
          </w:tcPr>
          <w:p w14:paraId="7C8F24D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sz w:val="15"/>
                <w:szCs w:val="15"/>
                <w:lang w:val="en-US"/>
              </w:rPr>
              <w:t>145</w:t>
            </w:r>
          </w:p>
        </w:tc>
        <w:tc>
          <w:tcPr>
            <w:tcW w:w="844" w:type="dxa"/>
            <w:tcBorders>
              <w:top w:val="nil"/>
              <w:left w:val="nil"/>
              <w:bottom w:val="single" w:sz="4" w:space="0" w:color="auto"/>
              <w:right w:val="nil"/>
            </w:tcBorders>
            <w:shd w:val="clear" w:color="auto" w:fill="auto"/>
            <w:noWrap/>
            <w:hideMark/>
          </w:tcPr>
          <w:p w14:paraId="1A84EAA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sz w:val="15"/>
                <w:szCs w:val="15"/>
                <w:lang w:val="en-US"/>
              </w:rPr>
              <w:t>145</w:t>
            </w:r>
          </w:p>
        </w:tc>
        <w:tc>
          <w:tcPr>
            <w:tcW w:w="845" w:type="dxa"/>
            <w:tcBorders>
              <w:top w:val="nil"/>
              <w:left w:val="nil"/>
              <w:bottom w:val="single" w:sz="4" w:space="0" w:color="auto"/>
              <w:right w:val="nil"/>
            </w:tcBorders>
            <w:shd w:val="clear" w:color="auto" w:fill="auto"/>
            <w:noWrap/>
            <w:hideMark/>
          </w:tcPr>
          <w:p w14:paraId="782BCCE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sz w:val="15"/>
                <w:szCs w:val="15"/>
                <w:lang w:val="en-US"/>
              </w:rPr>
              <w:t>145</w:t>
            </w:r>
          </w:p>
        </w:tc>
        <w:tc>
          <w:tcPr>
            <w:tcW w:w="844" w:type="dxa"/>
            <w:tcBorders>
              <w:top w:val="nil"/>
              <w:left w:val="nil"/>
              <w:bottom w:val="single" w:sz="4" w:space="0" w:color="auto"/>
              <w:right w:val="nil"/>
            </w:tcBorders>
            <w:shd w:val="clear" w:color="auto" w:fill="auto"/>
            <w:noWrap/>
            <w:hideMark/>
          </w:tcPr>
          <w:p w14:paraId="435FD25E"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sz w:val="15"/>
                <w:szCs w:val="15"/>
                <w:lang w:val="en-US"/>
              </w:rPr>
              <w:t>145</w:t>
            </w:r>
          </w:p>
        </w:tc>
        <w:tc>
          <w:tcPr>
            <w:tcW w:w="845" w:type="dxa"/>
            <w:tcBorders>
              <w:top w:val="nil"/>
              <w:left w:val="nil"/>
              <w:bottom w:val="single" w:sz="4" w:space="0" w:color="auto"/>
              <w:right w:val="nil"/>
            </w:tcBorders>
            <w:shd w:val="clear" w:color="auto" w:fill="auto"/>
            <w:noWrap/>
            <w:hideMark/>
          </w:tcPr>
          <w:p w14:paraId="4E163916"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sz w:val="15"/>
                <w:szCs w:val="15"/>
                <w:lang w:val="en-US"/>
              </w:rPr>
              <w:t>145</w:t>
            </w:r>
          </w:p>
        </w:tc>
        <w:tc>
          <w:tcPr>
            <w:tcW w:w="844" w:type="dxa"/>
            <w:tcBorders>
              <w:top w:val="nil"/>
              <w:left w:val="nil"/>
              <w:bottom w:val="single" w:sz="4" w:space="0" w:color="auto"/>
              <w:right w:val="nil"/>
            </w:tcBorders>
            <w:shd w:val="clear" w:color="auto" w:fill="auto"/>
            <w:noWrap/>
            <w:hideMark/>
          </w:tcPr>
          <w:p w14:paraId="4598F222"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sz w:val="15"/>
                <w:szCs w:val="15"/>
                <w:lang w:val="en-US"/>
              </w:rPr>
              <w:t>145</w:t>
            </w:r>
          </w:p>
        </w:tc>
        <w:tc>
          <w:tcPr>
            <w:tcW w:w="864" w:type="dxa"/>
            <w:tcBorders>
              <w:top w:val="nil"/>
              <w:left w:val="nil"/>
              <w:bottom w:val="single" w:sz="4" w:space="0" w:color="auto"/>
              <w:right w:val="nil"/>
            </w:tcBorders>
            <w:shd w:val="clear" w:color="auto" w:fill="auto"/>
            <w:noWrap/>
            <w:hideMark/>
          </w:tcPr>
          <w:p w14:paraId="178DE6D5"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sz w:val="15"/>
                <w:szCs w:val="15"/>
                <w:lang w:val="en-US"/>
              </w:rPr>
              <w:t>145</w:t>
            </w:r>
          </w:p>
        </w:tc>
        <w:tc>
          <w:tcPr>
            <w:tcW w:w="844" w:type="dxa"/>
            <w:tcBorders>
              <w:top w:val="nil"/>
              <w:left w:val="nil"/>
              <w:bottom w:val="single" w:sz="4" w:space="0" w:color="auto"/>
              <w:right w:val="nil"/>
            </w:tcBorders>
            <w:shd w:val="clear" w:color="auto" w:fill="auto"/>
            <w:noWrap/>
            <w:hideMark/>
          </w:tcPr>
          <w:p w14:paraId="39DD431C"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sz w:val="15"/>
                <w:szCs w:val="15"/>
                <w:lang w:val="en-US"/>
              </w:rPr>
              <w:t>145</w:t>
            </w:r>
          </w:p>
        </w:tc>
        <w:tc>
          <w:tcPr>
            <w:tcW w:w="844" w:type="dxa"/>
            <w:tcBorders>
              <w:top w:val="nil"/>
              <w:left w:val="nil"/>
              <w:bottom w:val="single" w:sz="4" w:space="0" w:color="auto"/>
              <w:right w:val="nil"/>
            </w:tcBorders>
            <w:shd w:val="clear" w:color="auto" w:fill="auto"/>
            <w:noWrap/>
            <w:hideMark/>
          </w:tcPr>
          <w:p w14:paraId="786458D1"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sz w:val="15"/>
                <w:szCs w:val="15"/>
                <w:lang w:val="en-US"/>
              </w:rPr>
              <w:t>145</w:t>
            </w:r>
          </w:p>
        </w:tc>
        <w:tc>
          <w:tcPr>
            <w:tcW w:w="845" w:type="dxa"/>
            <w:tcBorders>
              <w:top w:val="nil"/>
              <w:left w:val="nil"/>
              <w:bottom w:val="single" w:sz="4" w:space="0" w:color="auto"/>
              <w:right w:val="nil"/>
            </w:tcBorders>
            <w:shd w:val="clear" w:color="auto" w:fill="auto"/>
            <w:noWrap/>
            <w:hideMark/>
          </w:tcPr>
          <w:p w14:paraId="3CB04D5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sz w:val="15"/>
                <w:szCs w:val="15"/>
                <w:lang w:val="en-US"/>
              </w:rPr>
              <w:t>145</w:t>
            </w:r>
          </w:p>
        </w:tc>
        <w:tc>
          <w:tcPr>
            <w:tcW w:w="844" w:type="dxa"/>
            <w:tcBorders>
              <w:top w:val="nil"/>
              <w:left w:val="nil"/>
              <w:bottom w:val="single" w:sz="4" w:space="0" w:color="auto"/>
              <w:right w:val="nil"/>
            </w:tcBorders>
            <w:shd w:val="clear" w:color="auto" w:fill="auto"/>
            <w:noWrap/>
            <w:hideMark/>
          </w:tcPr>
          <w:p w14:paraId="52944040"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sz w:val="15"/>
                <w:szCs w:val="15"/>
                <w:lang w:val="en-US"/>
              </w:rPr>
              <w:t>145</w:t>
            </w:r>
          </w:p>
        </w:tc>
        <w:tc>
          <w:tcPr>
            <w:tcW w:w="845" w:type="dxa"/>
            <w:tcBorders>
              <w:top w:val="nil"/>
              <w:left w:val="nil"/>
              <w:bottom w:val="single" w:sz="4" w:space="0" w:color="auto"/>
              <w:right w:val="nil"/>
            </w:tcBorders>
            <w:shd w:val="clear" w:color="auto" w:fill="auto"/>
            <w:noWrap/>
            <w:hideMark/>
          </w:tcPr>
          <w:p w14:paraId="1C71A6D4"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sz w:val="15"/>
                <w:szCs w:val="15"/>
                <w:lang w:val="en-US"/>
              </w:rPr>
              <w:t>145</w:t>
            </w:r>
          </w:p>
        </w:tc>
        <w:tc>
          <w:tcPr>
            <w:tcW w:w="844" w:type="dxa"/>
            <w:tcBorders>
              <w:top w:val="nil"/>
              <w:left w:val="nil"/>
              <w:bottom w:val="single" w:sz="4" w:space="0" w:color="auto"/>
              <w:right w:val="nil"/>
            </w:tcBorders>
            <w:shd w:val="clear" w:color="auto" w:fill="auto"/>
            <w:noWrap/>
            <w:hideMark/>
          </w:tcPr>
          <w:p w14:paraId="4F19C2BF"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sz w:val="15"/>
                <w:szCs w:val="15"/>
                <w:lang w:val="en-US"/>
              </w:rPr>
              <w:t>145</w:t>
            </w:r>
          </w:p>
        </w:tc>
        <w:tc>
          <w:tcPr>
            <w:tcW w:w="845" w:type="dxa"/>
            <w:tcBorders>
              <w:top w:val="nil"/>
              <w:left w:val="nil"/>
              <w:bottom w:val="single" w:sz="4" w:space="0" w:color="auto"/>
              <w:right w:val="nil"/>
            </w:tcBorders>
            <w:shd w:val="clear" w:color="auto" w:fill="auto"/>
            <w:noWrap/>
            <w:hideMark/>
          </w:tcPr>
          <w:p w14:paraId="2A50E7EA" w14:textId="77777777" w:rsidR="0089544F" w:rsidRPr="00263C50" w:rsidRDefault="0089544F" w:rsidP="00186583">
            <w:pPr>
              <w:jc w:val="center"/>
              <w:rPr>
                <w:rFonts w:ascii="Times New Roman" w:eastAsia="Times New Roman" w:hAnsi="Times New Roman" w:cs="Times New Roman"/>
                <w:color w:val="000000"/>
                <w:sz w:val="15"/>
                <w:szCs w:val="15"/>
                <w:lang w:val="en-US" w:eastAsia="zh-TW"/>
              </w:rPr>
            </w:pPr>
            <w:r w:rsidRPr="00263C50">
              <w:rPr>
                <w:rFonts w:ascii="Times New Roman" w:hAnsi="Times New Roman" w:cs="Times New Roman"/>
                <w:sz w:val="15"/>
                <w:szCs w:val="15"/>
                <w:lang w:val="en-US"/>
              </w:rPr>
              <w:t>145</w:t>
            </w:r>
          </w:p>
        </w:tc>
      </w:tr>
    </w:tbl>
    <w:p w14:paraId="1E24882A" w14:textId="2F781B9E" w:rsidR="006B7AA2" w:rsidRPr="00263C50" w:rsidRDefault="006B7AA2" w:rsidP="00263C50">
      <w:pPr>
        <w:rPr>
          <w:rFonts w:ascii="Times New Roman" w:hAnsi="Times New Roman" w:cs="Times New Roman"/>
          <w:lang w:val="en-US"/>
        </w:rPr>
      </w:pPr>
    </w:p>
    <w:sectPr w:rsidR="006B7AA2" w:rsidRPr="00263C50" w:rsidSect="00CA4B1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0AC73" w14:textId="77777777" w:rsidR="00CA4B1F" w:rsidRDefault="00CA4B1F" w:rsidP="00A071C1">
      <w:r>
        <w:separator/>
      </w:r>
    </w:p>
  </w:endnote>
  <w:endnote w:type="continuationSeparator" w:id="0">
    <w:p w14:paraId="19AE0811" w14:textId="77777777" w:rsidR="00CA4B1F" w:rsidRDefault="00CA4B1F" w:rsidP="00A071C1">
      <w:r>
        <w:continuationSeparator/>
      </w:r>
    </w:p>
  </w:endnote>
  <w:endnote w:type="continuationNotice" w:id="1">
    <w:p w14:paraId="54DA5232" w14:textId="77777777" w:rsidR="00CA4B1F" w:rsidRDefault="00CA4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8BDC" w14:textId="77777777" w:rsidR="00211EEF" w:rsidRPr="00971715" w:rsidRDefault="00211EEF" w:rsidP="00211EEF">
    <w:pPr>
      <w:snapToGrid w:val="0"/>
      <w:rPr>
        <w:rFonts w:ascii="Times New Roman" w:hAnsi="Times New Roman" w:cs="Times New Roman"/>
        <w:b/>
        <w:sz w:val="16"/>
        <w:szCs w:val="16"/>
      </w:rPr>
    </w:pPr>
    <w:bookmarkStart w:id="6" w:name="_Hlk121315413"/>
    <w:bookmarkStart w:id="7" w:name="_Hlk121315414"/>
    <w:bookmarkStart w:id="8" w:name="_Hlk122081741"/>
    <w:bookmarkStart w:id="9" w:name="_Hlk122081742"/>
    <w:bookmarkStart w:id="10" w:name="_Hlk122082950"/>
    <w:bookmarkStart w:id="11" w:name="_Hlk122082951"/>
  </w:p>
  <w:p w14:paraId="5804309E" w14:textId="77777777" w:rsidR="00211EEF" w:rsidRPr="00971715" w:rsidRDefault="00211EEF" w:rsidP="00211EEF">
    <w:pPr>
      <w:snapToGrid w:val="0"/>
      <w:rPr>
        <w:rFonts w:ascii="Times New Roman" w:hAnsi="Times New Roman" w:cs="Times New Roman"/>
        <w:b/>
        <w:sz w:val="16"/>
        <w:szCs w:val="16"/>
      </w:rPr>
    </w:pPr>
    <w:r w:rsidRPr="00971715">
      <w:rPr>
        <w:rFonts w:ascii="Times New Roman" w:hAnsi="Times New Roman" w:cs="Times New Roman"/>
        <w:b/>
        <w:sz w:val="16"/>
        <w:szCs w:val="16"/>
      </w:rPr>
      <w:t>The Accounting Educators’ Journal, 202</w:t>
    </w:r>
    <w:bookmarkEnd w:id="6"/>
    <w:bookmarkEnd w:id="7"/>
    <w:bookmarkEnd w:id="8"/>
    <w:bookmarkEnd w:id="9"/>
    <w:bookmarkEnd w:id="10"/>
    <w:bookmarkEnd w:id="11"/>
    <w:r w:rsidRPr="00971715">
      <w:rPr>
        <w:rFonts w:ascii="Times New Roman" w:hAnsi="Times New Roman" w:cs="Times New Roman"/>
        <w:b/>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768577347"/>
      <w:docPartObj>
        <w:docPartGallery w:val="Page Numbers (Bottom of Page)"/>
        <w:docPartUnique/>
      </w:docPartObj>
    </w:sdtPr>
    <w:sdtEndPr>
      <w:rPr>
        <w:noProof/>
      </w:rPr>
    </w:sdtEndPr>
    <w:sdtContent>
      <w:bookmarkStart w:id="12" w:name="_Hlk121315608" w:displacedByCustomXml="prev"/>
      <w:bookmarkStart w:id="13" w:name="_Hlk121315609" w:displacedByCustomXml="prev"/>
      <w:bookmarkStart w:id="14" w:name="_Hlk122081854" w:displacedByCustomXml="prev"/>
      <w:bookmarkStart w:id="15" w:name="_Hlk122081855" w:displacedByCustomXml="prev"/>
      <w:bookmarkStart w:id="16" w:name="_Hlk122083052" w:displacedByCustomXml="prev"/>
      <w:bookmarkStart w:id="17" w:name="_Hlk122083053" w:displacedByCustomXml="prev"/>
      <w:p w14:paraId="6F766738" w14:textId="77777777" w:rsidR="00211EEF" w:rsidRPr="00971715" w:rsidRDefault="00211EEF" w:rsidP="00211EEF">
        <w:pPr>
          <w:tabs>
            <w:tab w:val="left" w:pos="6117"/>
          </w:tabs>
          <w:snapToGrid w:val="0"/>
          <w:rPr>
            <w:rFonts w:ascii="Times New Roman" w:hAnsi="Times New Roman" w:cs="Times New Roman"/>
            <w:b/>
            <w:sz w:val="16"/>
            <w:szCs w:val="16"/>
          </w:rPr>
        </w:pPr>
        <w:r w:rsidRPr="00971715">
          <w:rPr>
            <w:rFonts w:ascii="Times New Roman" w:hAnsi="Times New Roman" w:cs="Times New Roman"/>
            <w:b/>
            <w:sz w:val="16"/>
            <w:szCs w:val="16"/>
          </w:rPr>
          <w:tab/>
        </w:r>
      </w:p>
      <w:p w14:paraId="5977C517" w14:textId="5651A787" w:rsidR="0065702A" w:rsidRPr="00211EEF" w:rsidRDefault="00211EEF" w:rsidP="00211EEF">
        <w:pPr>
          <w:tabs>
            <w:tab w:val="right" w:pos="9360"/>
          </w:tabs>
          <w:snapToGrid w:val="0"/>
          <w:rPr>
            <w:rFonts w:ascii="Times New Roman" w:hAnsi="Times New Roman" w:cs="Times New Roman"/>
            <w:b/>
            <w:sz w:val="16"/>
            <w:szCs w:val="16"/>
          </w:rPr>
        </w:pPr>
        <w:r w:rsidRPr="00971715">
          <w:rPr>
            <w:rFonts w:ascii="Times New Roman" w:hAnsi="Times New Roman" w:cs="Times New Roman"/>
            <w:b/>
            <w:sz w:val="16"/>
            <w:szCs w:val="16"/>
          </w:rPr>
          <w:tab/>
          <w:t>The Accounting Educators’ Journal, 202</w:t>
        </w:r>
        <w:bookmarkEnd w:id="17"/>
        <w:bookmarkEnd w:id="16"/>
        <w:bookmarkEnd w:id="15"/>
        <w:bookmarkEnd w:id="14"/>
        <w:bookmarkEnd w:id="13"/>
        <w:bookmarkEnd w:id="12"/>
        <w:r w:rsidRPr="00971715">
          <w:rPr>
            <w:rFonts w:ascii="Times New Roman" w:hAnsi="Times New Roman" w:cs="Times New Roman"/>
            <w:b/>
            <w:sz w:val="16"/>
            <w:szCs w:val="16"/>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9542" w14:textId="77777777" w:rsidR="00CA4B1F" w:rsidRDefault="00CA4B1F" w:rsidP="00A071C1">
      <w:r>
        <w:separator/>
      </w:r>
    </w:p>
  </w:footnote>
  <w:footnote w:type="continuationSeparator" w:id="0">
    <w:p w14:paraId="6CB02B05" w14:textId="77777777" w:rsidR="00CA4B1F" w:rsidRDefault="00CA4B1F" w:rsidP="00A071C1">
      <w:r>
        <w:continuationSeparator/>
      </w:r>
    </w:p>
  </w:footnote>
  <w:footnote w:type="continuationNotice" w:id="1">
    <w:p w14:paraId="6FD76B99" w14:textId="77777777" w:rsidR="00CA4B1F" w:rsidRDefault="00CA4B1F"/>
  </w:footnote>
  <w:footnote w:id="2">
    <w:p w14:paraId="66B9D78A" w14:textId="77777777" w:rsidR="0065702A" w:rsidRPr="0035095E" w:rsidRDefault="0065702A" w:rsidP="00756088">
      <w:pPr>
        <w:pStyle w:val="FootnoteText"/>
        <w:rPr>
          <w:rFonts w:ascii="Times New Roman" w:hAnsi="Times New Roman" w:cs="Times New Roman"/>
          <w:sz w:val="20"/>
          <w:szCs w:val="20"/>
        </w:rPr>
      </w:pPr>
      <w:r w:rsidRPr="0035095E">
        <w:rPr>
          <w:rStyle w:val="FootnoteReference"/>
          <w:rFonts w:ascii="Times New Roman" w:hAnsi="Times New Roman" w:cs="Times New Roman"/>
          <w:sz w:val="20"/>
          <w:szCs w:val="20"/>
        </w:rPr>
        <w:footnoteRef/>
      </w:r>
      <w:r w:rsidRPr="0035095E">
        <w:rPr>
          <w:rFonts w:ascii="Times New Roman" w:hAnsi="Times New Roman" w:cs="Times New Roman"/>
          <w:sz w:val="20"/>
          <w:szCs w:val="20"/>
        </w:rPr>
        <w:t xml:space="preserve"> According to the definition of the President’s Advisory Council on Financial Literacy, financial literacy is </w:t>
      </w:r>
      <w:r w:rsidRPr="0035095E">
        <w:rPr>
          <w:rFonts w:ascii="Times New Roman" w:eastAsia="Times New Roman" w:hAnsi="Times New Roman" w:cs="Times New Roman"/>
          <w:sz w:val="20"/>
          <w:szCs w:val="20"/>
        </w:rPr>
        <w:t>"the ability to use knowledge and skills to manage financial resources effectively for a lifetime of financial well-being" (2008 Annual Report).</w:t>
      </w:r>
    </w:p>
  </w:footnote>
  <w:footnote w:id="3">
    <w:p w14:paraId="3DE938E2" w14:textId="0290F8F8" w:rsidR="0065702A" w:rsidRPr="0035095E" w:rsidRDefault="0065702A">
      <w:pPr>
        <w:pStyle w:val="FootnoteText"/>
        <w:rPr>
          <w:rFonts w:ascii="Times New Roman" w:hAnsi="Times New Roman" w:cs="Times New Roman"/>
          <w:sz w:val="20"/>
          <w:szCs w:val="20"/>
          <w:lang w:val="en-US"/>
        </w:rPr>
      </w:pPr>
      <w:r w:rsidRPr="0035095E">
        <w:rPr>
          <w:rStyle w:val="FootnoteReference"/>
          <w:rFonts w:ascii="Times New Roman" w:hAnsi="Times New Roman" w:cs="Times New Roman"/>
          <w:sz w:val="20"/>
          <w:szCs w:val="20"/>
        </w:rPr>
        <w:footnoteRef/>
      </w:r>
      <w:r w:rsidRPr="0035095E">
        <w:rPr>
          <w:rFonts w:ascii="Times New Roman" w:hAnsi="Times New Roman" w:cs="Times New Roman"/>
          <w:sz w:val="20"/>
          <w:szCs w:val="20"/>
        </w:rPr>
        <w:t xml:space="preserve"> </w:t>
      </w:r>
      <w:r w:rsidRPr="0035095E">
        <w:rPr>
          <w:rFonts w:ascii="Times New Roman" w:hAnsi="Times New Roman" w:cs="Times New Roman"/>
          <w:sz w:val="20"/>
          <w:szCs w:val="20"/>
          <w:lang w:val="en-US"/>
        </w:rPr>
        <w:t>In this study, we use tax literacy and tax knowledge interchangeably. Similarly, we use financial literacy and financial knowledge interchangeably.</w:t>
      </w:r>
    </w:p>
  </w:footnote>
  <w:footnote w:id="4">
    <w:p w14:paraId="76978D29" w14:textId="23BD6EAC" w:rsidR="0065702A" w:rsidRPr="0035095E" w:rsidRDefault="0065702A" w:rsidP="004152BF">
      <w:pPr>
        <w:pStyle w:val="FootnoteText"/>
        <w:rPr>
          <w:rFonts w:ascii="Times New Roman" w:hAnsi="Times New Roman" w:cs="Times New Roman"/>
          <w:sz w:val="20"/>
          <w:szCs w:val="20"/>
        </w:rPr>
      </w:pPr>
      <w:r w:rsidRPr="0035095E">
        <w:rPr>
          <w:rStyle w:val="FootnoteReference"/>
          <w:rFonts w:ascii="Times New Roman" w:hAnsi="Times New Roman" w:cs="Times New Roman"/>
          <w:sz w:val="20"/>
          <w:szCs w:val="20"/>
        </w:rPr>
        <w:footnoteRef/>
      </w:r>
      <w:r w:rsidRPr="0035095E">
        <w:rPr>
          <w:rFonts w:ascii="Times New Roman" w:hAnsi="Times New Roman" w:cs="Times New Roman"/>
          <w:sz w:val="20"/>
          <w:szCs w:val="20"/>
        </w:rPr>
        <w:t xml:space="preserve"> </w:t>
      </w:r>
      <w:r w:rsidRPr="0035095E">
        <w:rPr>
          <w:rFonts w:ascii="Times New Roman" w:eastAsia="Times New Roman" w:hAnsi="Times New Roman" w:cs="Times New Roman"/>
          <w:bCs/>
          <w:sz w:val="20"/>
          <w:szCs w:val="20"/>
          <w:lang w:val="en-US"/>
        </w:rPr>
        <w:t xml:space="preserve">We refer to the Australian tax literacy study since Australia is also a member of the </w:t>
      </w:r>
      <w:proofErr w:type="spellStart"/>
      <w:r w:rsidRPr="0035095E">
        <w:rPr>
          <w:rFonts w:ascii="Times New Roman" w:eastAsia="Times New Roman" w:hAnsi="Times New Roman" w:cs="Times New Roman"/>
          <w:bCs/>
          <w:sz w:val="20"/>
          <w:szCs w:val="20"/>
          <w:lang w:val="en-US"/>
        </w:rPr>
        <w:t>Organisation</w:t>
      </w:r>
      <w:proofErr w:type="spellEnd"/>
      <w:r w:rsidRPr="0035095E">
        <w:rPr>
          <w:rFonts w:ascii="Times New Roman" w:eastAsia="Times New Roman" w:hAnsi="Times New Roman" w:cs="Times New Roman"/>
          <w:bCs/>
          <w:sz w:val="20"/>
          <w:szCs w:val="20"/>
          <w:lang w:val="en-US"/>
        </w:rPr>
        <w:t xml:space="preserve"> for Economic Co-operation and Development, and its tax system and tax environment may be comparable to those in the US.</w:t>
      </w:r>
      <w:r w:rsidR="009B773C">
        <w:rPr>
          <w:rFonts w:ascii="Times New Roman" w:eastAsia="Times New Roman" w:hAnsi="Times New Roman" w:cs="Times New Roman"/>
          <w:bCs/>
          <w:sz w:val="20"/>
          <w:szCs w:val="20"/>
          <w:lang w:val="en-US"/>
        </w:rPr>
        <w:t xml:space="preserve">  </w:t>
      </w:r>
    </w:p>
  </w:footnote>
  <w:footnote w:id="5">
    <w:p w14:paraId="4B2383F0" w14:textId="44EF0A6F" w:rsidR="0065702A" w:rsidRDefault="0065702A">
      <w:pPr>
        <w:pStyle w:val="FootnoteText"/>
        <w:rPr>
          <w:rFonts w:ascii="Times New Roman" w:hAnsi="Times New Roman" w:cs="Times New Roman"/>
          <w:sz w:val="20"/>
          <w:szCs w:val="20"/>
        </w:rPr>
      </w:pPr>
      <w:r w:rsidRPr="0035095E">
        <w:rPr>
          <w:rStyle w:val="FootnoteReference"/>
          <w:rFonts w:ascii="Times New Roman" w:hAnsi="Times New Roman" w:cs="Times New Roman"/>
          <w:sz w:val="20"/>
          <w:szCs w:val="20"/>
        </w:rPr>
        <w:footnoteRef/>
      </w:r>
      <w:r w:rsidRPr="0035095E">
        <w:rPr>
          <w:rFonts w:ascii="Times New Roman" w:hAnsi="Times New Roman" w:cs="Times New Roman"/>
          <w:sz w:val="20"/>
          <w:szCs w:val="20"/>
        </w:rPr>
        <w:t xml:space="preserve"> Institutional Review Board approval was obtained before the pilot study.</w:t>
      </w:r>
      <w:r w:rsidR="009B773C">
        <w:rPr>
          <w:rFonts w:ascii="Times New Roman" w:hAnsi="Times New Roman" w:cs="Times New Roman"/>
          <w:sz w:val="20"/>
          <w:szCs w:val="20"/>
        </w:rPr>
        <w:t xml:space="preserve">  </w:t>
      </w:r>
    </w:p>
    <w:p w14:paraId="60732262" w14:textId="77777777" w:rsidR="009B773C" w:rsidRPr="0035095E" w:rsidRDefault="009B773C">
      <w:pPr>
        <w:pStyle w:val="FootnoteText"/>
        <w:rPr>
          <w:rFonts w:ascii="Times New Roman" w:hAnsi="Times New Roman" w:cs="Times New Roman"/>
          <w:sz w:val="20"/>
          <w:szCs w:val="20"/>
        </w:rPr>
      </w:pPr>
    </w:p>
  </w:footnote>
  <w:footnote w:id="6">
    <w:p w14:paraId="62B60097" w14:textId="637BD75C" w:rsidR="0065702A" w:rsidRPr="0035095E" w:rsidRDefault="0065702A">
      <w:pPr>
        <w:pStyle w:val="FootnoteText"/>
        <w:rPr>
          <w:rFonts w:ascii="Times New Roman" w:hAnsi="Times New Roman" w:cs="Times New Roman"/>
          <w:sz w:val="20"/>
          <w:szCs w:val="20"/>
        </w:rPr>
      </w:pPr>
      <w:r w:rsidRPr="0035095E">
        <w:rPr>
          <w:rStyle w:val="FootnoteReference"/>
          <w:rFonts w:ascii="Times New Roman" w:hAnsi="Times New Roman" w:cs="Times New Roman"/>
          <w:sz w:val="20"/>
          <w:szCs w:val="20"/>
        </w:rPr>
        <w:footnoteRef/>
      </w:r>
      <w:r w:rsidRPr="0035095E">
        <w:rPr>
          <w:rFonts w:ascii="Times New Roman" w:hAnsi="Times New Roman" w:cs="Times New Roman"/>
          <w:sz w:val="20"/>
          <w:szCs w:val="20"/>
        </w:rPr>
        <w:t xml:space="preserve"> The student engagement credit is a credit used by the business school to encourage students to participate in certain extracurricular activities. Students who accumulate more than a certain number of student engagement credits receive a cord that they can wear to the graduation ceremony.</w:t>
      </w:r>
      <w:r w:rsidR="009B773C">
        <w:rPr>
          <w:rFonts w:ascii="Times New Roman" w:hAnsi="Times New Roman" w:cs="Times New Roman"/>
          <w:sz w:val="20"/>
          <w:szCs w:val="20"/>
        </w:rPr>
        <w:t xml:space="preserve">  </w:t>
      </w:r>
    </w:p>
  </w:footnote>
  <w:footnote w:id="7">
    <w:p w14:paraId="56DA46AE" w14:textId="2CC4E301" w:rsidR="0065702A" w:rsidRPr="00CB7FF6" w:rsidRDefault="0065702A">
      <w:pPr>
        <w:pStyle w:val="FootnoteText"/>
        <w:rPr>
          <w:rFonts w:ascii="Times New Roman" w:hAnsi="Times New Roman" w:cs="Times New Roman"/>
          <w:sz w:val="20"/>
          <w:szCs w:val="20"/>
        </w:rPr>
      </w:pPr>
      <w:r w:rsidRPr="00CB7FF6">
        <w:rPr>
          <w:rStyle w:val="FootnoteReference"/>
          <w:rFonts w:ascii="Times New Roman" w:hAnsi="Times New Roman" w:cs="Times New Roman"/>
          <w:sz w:val="20"/>
          <w:szCs w:val="20"/>
        </w:rPr>
        <w:footnoteRef/>
      </w:r>
      <w:r w:rsidRPr="00CB7FF6">
        <w:rPr>
          <w:rFonts w:ascii="Times New Roman" w:hAnsi="Times New Roman" w:cs="Times New Roman"/>
          <w:sz w:val="20"/>
          <w:szCs w:val="20"/>
        </w:rPr>
        <w:t xml:space="preserve"> As the survey are anonymous, a number of respondents started the surveys but stopped answering the tax questions after </w:t>
      </w:r>
      <w:proofErr w:type="gramStart"/>
      <w:r w:rsidRPr="00CB7FF6">
        <w:rPr>
          <w:rFonts w:ascii="Times New Roman" w:hAnsi="Times New Roman" w:cs="Times New Roman"/>
          <w:sz w:val="20"/>
          <w:szCs w:val="20"/>
        </w:rPr>
        <w:t>half way</w:t>
      </w:r>
      <w:proofErr w:type="gramEnd"/>
      <w:r w:rsidRPr="00CB7FF6">
        <w:rPr>
          <w:rFonts w:ascii="Times New Roman" w:hAnsi="Times New Roman" w:cs="Times New Roman"/>
          <w:sz w:val="20"/>
          <w:szCs w:val="20"/>
        </w:rPr>
        <w:t>. These samples tend to have close to zero tax questions answered correctly and including these samples creates noises to the main result.</w:t>
      </w:r>
      <w:r w:rsidR="009B773C">
        <w:rPr>
          <w:rFonts w:ascii="Times New Roman" w:hAnsi="Times New Roman" w:cs="Times New Roman"/>
          <w:sz w:val="20"/>
          <w:szCs w:val="20"/>
        </w:rPr>
        <w:t xml:space="preserve">  </w:t>
      </w:r>
    </w:p>
  </w:footnote>
  <w:footnote w:id="8">
    <w:p w14:paraId="768E1685" w14:textId="126A452D" w:rsidR="0065702A" w:rsidRDefault="0065702A" w:rsidP="000E6E91">
      <w:pPr>
        <w:pStyle w:val="FootnoteText"/>
      </w:pPr>
      <w:r>
        <w:rPr>
          <w:rStyle w:val="FootnoteReference"/>
        </w:rPr>
        <w:footnoteRef/>
      </w:r>
      <w:r>
        <w:t xml:space="preserve"> </w:t>
      </w:r>
      <w:r>
        <w:rPr>
          <w:rFonts w:ascii="Cambria" w:hAnsi="Cambria"/>
          <w:sz w:val="20"/>
          <w:szCs w:val="20"/>
        </w:rPr>
        <w:t>134 out of 145 (92.4%)</w:t>
      </w:r>
      <w:r w:rsidRPr="00376E84">
        <w:rPr>
          <w:rFonts w:ascii="Cambria" w:hAnsi="Cambria"/>
          <w:sz w:val="20"/>
          <w:szCs w:val="20"/>
        </w:rPr>
        <w:t xml:space="preserve"> respondents answer</w:t>
      </w:r>
      <w:r>
        <w:rPr>
          <w:rFonts w:ascii="Cambria" w:hAnsi="Cambria"/>
          <w:sz w:val="20"/>
          <w:szCs w:val="20"/>
        </w:rPr>
        <w:t>ed</w:t>
      </w:r>
      <w:r w:rsidRPr="00376E84">
        <w:rPr>
          <w:rFonts w:ascii="Cambria" w:hAnsi="Cambria"/>
          <w:sz w:val="20"/>
          <w:szCs w:val="20"/>
        </w:rPr>
        <w:t xml:space="preserve"> all questions. </w:t>
      </w:r>
      <w:r>
        <w:rPr>
          <w:rFonts w:ascii="Cambria" w:hAnsi="Cambria"/>
          <w:sz w:val="20"/>
          <w:szCs w:val="20"/>
        </w:rPr>
        <w:t>The empirical results remain qualitatively consistent if the 11 incomplete responses are excluded.</w:t>
      </w:r>
    </w:p>
  </w:footnote>
  <w:footnote w:id="9">
    <w:p w14:paraId="5CAF6D53" w14:textId="77777777" w:rsidR="0065702A" w:rsidRPr="00263C50" w:rsidRDefault="0065702A" w:rsidP="0089544F">
      <w:pPr>
        <w:jc w:val="both"/>
        <w:rPr>
          <w:rFonts w:ascii="Times New Roman" w:hAnsi="Times New Roman" w:cs="Times New Roman"/>
          <w:sz w:val="20"/>
          <w:szCs w:val="20"/>
        </w:rPr>
      </w:pPr>
      <w:r w:rsidRPr="00263C50">
        <w:rPr>
          <w:rStyle w:val="FootnoteReference"/>
          <w:rFonts w:ascii="Times New Roman" w:hAnsi="Times New Roman" w:cs="Times New Roman"/>
          <w:sz w:val="20"/>
          <w:szCs w:val="20"/>
        </w:rPr>
        <w:footnoteRef/>
      </w:r>
      <w:r w:rsidRPr="00263C50">
        <w:rPr>
          <w:rFonts w:ascii="Times New Roman" w:hAnsi="Times New Roman" w:cs="Times New Roman"/>
          <w:sz w:val="20"/>
          <w:szCs w:val="20"/>
        </w:rPr>
        <w:t xml:space="preserve"> </w:t>
      </w:r>
      <w:r w:rsidRPr="00263C50">
        <w:rPr>
          <w:rFonts w:ascii="Times New Roman" w:hAnsi="Times New Roman" w:cs="Times New Roman"/>
          <w:i/>
          <w:sz w:val="20"/>
          <w:szCs w:val="20"/>
        </w:rPr>
        <w:t>t</w:t>
      </w:r>
      <w:r w:rsidRPr="00263C50">
        <w:rPr>
          <w:rFonts w:ascii="Times New Roman" w:hAnsi="Times New Roman" w:cs="Times New Roman"/>
          <w:sz w:val="20"/>
          <w:szCs w:val="20"/>
        </w:rPr>
        <w:t>-statistics are presented in parentheses. *, **, and *** indicate statistical significance at the 10%, 5%, and 1% levels, respectively.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Cs/>
        <w:sz w:val="16"/>
        <w:szCs w:val="16"/>
      </w:rPr>
      <w:id w:val="-1064092094"/>
      <w:docPartObj>
        <w:docPartGallery w:val="Page Numbers (Top of Page)"/>
        <w:docPartUnique/>
      </w:docPartObj>
    </w:sdtPr>
    <w:sdtEndPr>
      <w:rPr>
        <w:b/>
        <w:bCs w:val="0"/>
        <w:iCs/>
        <w:color w:val="000000"/>
      </w:rPr>
    </w:sdtEndPr>
    <w:sdtContent>
      <w:p w14:paraId="5F7C66A3" w14:textId="1EB6DB31" w:rsidR="00211EEF" w:rsidRPr="00971715" w:rsidRDefault="00211EEF" w:rsidP="00211EEF">
        <w:pPr>
          <w:tabs>
            <w:tab w:val="right" w:pos="9270"/>
          </w:tabs>
          <w:contextualSpacing/>
          <w:rPr>
            <w:rFonts w:ascii="Times New Roman" w:hAnsi="Times New Roman" w:cs="Times New Roman"/>
            <w:sz w:val="16"/>
            <w:szCs w:val="16"/>
          </w:rPr>
        </w:pPr>
        <w:r w:rsidRPr="00971715">
          <w:rPr>
            <w:rFonts w:ascii="Times New Roman" w:hAnsi="Times New Roman" w:cs="Times New Roman"/>
            <w:b/>
            <w:iCs/>
            <w:color w:val="000000"/>
            <w:sz w:val="16"/>
            <w:szCs w:val="16"/>
          </w:rPr>
          <w:fldChar w:fldCharType="begin"/>
        </w:r>
        <w:r w:rsidRPr="00971715">
          <w:rPr>
            <w:rFonts w:ascii="Times New Roman" w:hAnsi="Times New Roman" w:cs="Times New Roman"/>
            <w:b/>
            <w:iCs/>
            <w:color w:val="000000"/>
            <w:sz w:val="16"/>
            <w:szCs w:val="16"/>
          </w:rPr>
          <w:instrText xml:space="preserve"> PAGE   \* MERGEFORMAT </w:instrText>
        </w:r>
        <w:r w:rsidRPr="00971715">
          <w:rPr>
            <w:rFonts w:ascii="Times New Roman" w:hAnsi="Times New Roman" w:cs="Times New Roman"/>
            <w:b/>
            <w:iCs/>
            <w:color w:val="000000"/>
            <w:sz w:val="16"/>
            <w:szCs w:val="16"/>
          </w:rPr>
          <w:fldChar w:fldCharType="separate"/>
        </w:r>
        <w:r>
          <w:rPr>
            <w:rFonts w:ascii="Times New Roman" w:hAnsi="Times New Roman" w:cs="Times New Roman"/>
            <w:b/>
            <w:iCs/>
            <w:color w:val="000000"/>
            <w:sz w:val="16"/>
            <w:szCs w:val="16"/>
          </w:rPr>
          <w:t>44</w:t>
        </w:r>
        <w:r w:rsidRPr="00971715">
          <w:rPr>
            <w:rFonts w:ascii="Times New Roman" w:hAnsi="Times New Roman" w:cs="Times New Roman"/>
            <w:b/>
            <w:iCs/>
            <w:color w:val="000000"/>
            <w:sz w:val="16"/>
            <w:szCs w:val="16"/>
          </w:rPr>
          <w:fldChar w:fldCharType="end"/>
        </w:r>
        <w:r w:rsidRPr="00971715">
          <w:rPr>
            <w:rFonts w:ascii="Times New Roman" w:hAnsi="Times New Roman" w:cs="Times New Roman"/>
            <w:b/>
            <w:iCs/>
            <w:color w:val="000000"/>
            <w:sz w:val="16"/>
            <w:szCs w:val="16"/>
          </w:rPr>
          <w:tab/>
        </w:r>
        <w:r w:rsidR="002063D2">
          <w:rPr>
            <w:rFonts w:ascii="Times New Roman" w:hAnsi="Times New Roman" w:cs="Times New Roman"/>
            <w:b/>
            <w:sz w:val="16"/>
            <w:szCs w:val="16"/>
          </w:rPr>
          <w:t xml:space="preserve">Liu, </w:t>
        </w:r>
        <w:proofErr w:type="gramStart"/>
        <w:r w:rsidR="002063D2">
          <w:rPr>
            <w:rFonts w:ascii="Times New Roman" w:hAnsi="Times New Roman" w:cs="Times New Roman"/>
            <w:b/>
            <w:sz w:val="16"/>
            <w:szCs w:val="16"/>
          </w:rPr>
          <w:t>Xu</w:t>
        </w:r>
        <w:proofErr w:type="gramEnd"/>
        <w:r w:rsidR="002063D2">
          <w:rPr>
            <w:rFonts w:ascii="Times New Roman" w:hAnsi="Times New Roman" w:cs="Times New Roman"/>
            <w:b/>
            <w:sz w:val="16"/>
            <w:szCs w:val="16"/>
          </w:rPr>
          <w:t xml:space="preserve"> and Kim</w:t>
        </w:r>
      </w:p>
      <w:p w14:paraId="478DC64C" w14:textId="0DFF1D7E" w:rsidR="002656E4" w:rsidRPr="00211EEF" w:rsidRDefault="00000000">
        <w:pPr>
          <w:pStyle w:val="Header"/>
          <w:rPr>
            <w:rFonts w:ascii="Times New Roman" w:hAnsi="Times New Roman" w:cs="Times New Roman"/>
            <w:b/>
            <w:i/>
            <w:color w:val="000000"/>
            <w:sz w:val="16"/>
            <w:szCs w:val="16"/>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626E" w14:textId="54052883" w:rsidR="00211EEF" w:rsidRDefault="002063D2" w:rsidP="00211EEF">
    <w:pPr>
      <w:tabs>
        <w:tab w:val="right" w:pos="9180"/>
      </w:tabs>
      <w:contextualSpacing/>
      <w:rPr>
        <w:rFonts w:ascii="Times New Roman" w:hAnsi="Times New Roman"/>
        <w:b/>
        <w:bCs/>
        <w:iCs/>
        <w:color w:val="000000"/>
        <w:sz w:val="16"/>
        <w:szCs w:val="16"/>
      </w:rPr>
    </w:pPr>
    <w:r w:rsidRPr="002063D2">
      <w:rPr>
        <w:rFonts w:ascii="Times New Roman" w:hAnsi="Times New Roman" w:cs="Times New Roman"/>
        <w:b/>
        <w:sz w:val="16"/>
        <w:szCs w:val="16"/>
      </w:rPr>
      <w:t>Tax Literacy and Tax Confidence in a US College Population: Relations to Accounting and Tax Education</w:t>
    </w:r>
    <w:r w:rsidR="00211EEF" w:rsidRPr="00971715">
      <w:rPr>
        <w:b/>
        <w:bCs/>
        <w:sz w:val="16"/>
        <w:szCs w:val="16"/>
      </w:rPr>
      <w:tab/>
    </w:r>
    <w:r w:rsidR="00211EEF" w:rsidRPr="00971715">
      <w:rPr>
        <w:rFonts w:ascii="Times New Roman" w:hAnsi="Times New Roman"/>
        <w:b/>
        <w:bCs/>
        <w:iCs/>
        <w:color w:val="000000"/>
        <w:sz w:val="16"/>
        <w:szCs w:val="16"/>
      </w:rPr>
      <w:fldChar w:fldCharType="begin"/>
    </w:r>
    <w:r w:rsidR="00211EEF" w:rsidRPr="00971715">
      <w:rPr>
        <w:rFonts w:ascii="Times New Roman" w:hAnsi="Times New Roman"/>
        <w:b/>
        <w:bCs/>
        <w:iCs/>
        <w:color w:val="000000"/>
        <w:sz w:val="16"/>
        <w:szCs w:val="16"/>
      </w:rPr>
      <w:instrText xml:space="preserve"> PAGE   \* MERGEFORMAT </w:instrText>
    </w:r>
    <w:r w:rsidR="00211EEF" w:rsidRPr="00971715">
      <w:rPr>
        <w:rFonts w:ascii="Times New Roman" w:hAnsi="Times New Roman"/>
        <w:b/>
        <w:bCs/>
        <w:iCs/>
        <w:color w:val="000000"/>
        <w:sz w:val="16"/>
        <w:szCs w:val="16"/>
      </w:rPr>
      <w:fldChar w:fldCharType="separate"/>
    </w:r>
    <w:r w:rsidR="00211EEF">
      <w:rPr>
        <w:rFonts w:ascii="Times New Roman" w:hAnsi="Times New Roman"/>
        <w:b/>
        <w:bCs/>
        <w:iCs/>
        <w:color w:val="000000"/>
        <w:sz w:val="16"/>
        <w:szCs w:val="16"/>
      </w:rPr>
      <w:t>45</w:t>
    </w:r>
    <w:r w:rsidR="00211EEF" w:rsidRPr="00971715">
      <w:rPr>
        <w:rFonts w:ascii="Times New Roman" w:hAnsi="Times New Roman"/>
        <w:b/>
        <w:bCs/>
        <w:iCs/>
        <w:color w:val="000000"/>
        <w:sz w:val="16"/>
        <w:szCs w:val="16"/>
      </w:rPr>
      <w:fldChar w:fldCharType="end"/>
    </w:r>
  </w:p>
  <w:p w14:paraId="694A0767" w14:textId="77777777" w:rsidR="002063D2" w:rsidRPr="00971715" w:rsidRDefault="002063D2" w:rsidP="00211EEF">
    <w:pPr>
      <w:tabs>
        <w:tab w:val="right" w:pos="9180"/>
      </w:tabs>
      <w:contextualSpacing/>
      <w:rPr>
        <w:rFonts w:ascii="Times New Roman" w:hAnsi="Times New Roman"/>
        <w:b/>
        <w:bCs/>
        <w:iCs/>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9E9A" w14:textId="77777777" w:rsidR="00211EEF" w:rsidRPr="00EA4725" w:rsidRDefault="00211EEF" w:rsidP="00211EEF">
    <w:pPr>
      <w:snapToGrid w:val="0"/>
      <w:rPr>
        <w:b/>
        <w:i/>
      </w:rPr>
    </w:pPr>
    <w:bookmarkStart w:id="18" w:name="_Hlk122082748"/>
    <w:bookmarkStart w:id="19" w:name="_Hlk122082749"/>
    <w:r w:rsidRPr="00EA4725">
      <w:rPr>
        <w:b/>
        <w:i/>
        <w:color w:val="000000"/>
        <w:sz w:val="17"/>
        <w:szCs w:val="17"/>
      </w:rPr>
      <w:t>THE ACCOUNTING EDUCATORS’ JOURNAL</w:t>
    </w:r>
  </w:p>
  <w:p w14:paraId="29C260E6" w14:textId="77777777" w:rsidR="00211EEF" w:rsidRPr="00EA4725" w:rsidRDefault="00211EEF" w:rsidP="00211EEF">
    <w:pPr>
      <w:snapToGrid w:val="0"/>
      <w:rPr>
        <w:b/>
      </w:rPr>
    </w:pPr>
    <w:r w:rsidRPr="00EA4725">
      <w:rPr>
        <w:b/>
        <w:color w:val="000000"/>
        <w:sz w:val="17"/>
        <w:szCs w:val="17"/>
      </w:rPr>
      <w:t>Volume XX</w:t>
    </w:r>
    <w:r>
      <w:rPr>
        <w:b/>
        <w:color w:val="000000"/>
        <w:sz w:val="17"/>
        <w:szCs w:val="17"/>
      </w:rPr>
      <w:t>XI</w:t>
    </w:r>
    <w:r w:rsidRPr="00EA4725">
      <w:rPr>
        <w:b/>
        <w:color w:val="000000"/>
        <w:sz w:val="17"/>
        <w:szCs w:val="17"/>
      </w:rPr>
      <w:t>I</w:t>
    </w:r>
    <w:r>
      <w:rPr>
        <w:b/>
        <w:color w:val="000000"/>
        <w:sz w:val="17"/>
        <w:szCs w:val="17"/>
      </w:rPr>
      <w:t>I</w:t>
    </w:r>
  </w:p>
  <w:p w14:paraId="210C2110" w14:textId="77777777" w:rsidR="00211EEF" w:rsidRPr="00EA4725" w:rsidRDefault="00211EEF" w:rsidP="00211EEF">
    <w:pPr>
      <w:snapToGrid w:val="0"/>
      <w:rPr>
        <w:b/>
      </w:rPr>
    </w:pPr>
    <w:r w:rsidRPr="00EA4725">
      <w:rPr>
        <w:b/>
        <w:color w:val="000000"/>
        <w:sz w:val="17"/>
        <w:szCs w:val="17"/>
      </w:rPr>
      <w:t>20</w:t>
    </w:r>
    <w:r>
      <w:rPr>
        <w:b/>
        <w:color w:val="000000"/>
        <w:sz w:val="17"/>
        <w:szCs w:val="17"/>
      </w:rPr>
      <w:t>23</w:t>
    </w:r>
  </w:p>
  <w:p w14:paraId="695D1D8E" w14:textId="103CDB2F" w:rsidR="00211EEF" w:rsidRPr="00BA2293" w:rsidRDefault="00211EEF" w:rsidP="00211EEF">
    <w:pPr>
      <w:snapToGrid w:val="0"/>
      <w:rPr>
        <w:b/>
        <w:color w:val="000000"/>
        <w:sz w:val="17"/>
        <w:szCs w:val="17"/>
      </w:rPr>
    </w:pPr>
    <w:r w:rsidRPr="00EA4725">
      <w:rPr>
        <w:b/>
        <w:color w:val="000000"/>
        <w:sz w:val="17"/>
        <w:szCs w:val="17"/>
      </w:rPr>
      <w:t xml:space="preserve">pp. </w:t>
    </w:r>
    <w:bookmarkEnd w:id="18"/>
    <w:bookmarkEnd w:id="19"/>
    <w:r w:rsidR="006B27A4">
      <w:rPr>
        <w:b/>
        <w:color w:val="000000"/>
        <w:sz w:val="17"/>
        <w:szCs w:val="17"/>
      </w:rPr>
      <w:t>409 - 436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636A"/>
    <w:multiLevelType w:val="hybridMultilevel"/>
    <w:tmpl w:val="3D2C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026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F2"/>
    <w:rsid w:val="00000B59"/>
    <w:rsid w:val="000010F3"/>
    <w:rsid w:val="00003CC8"/>
    <w:rsid w:val="00004160"/>
    <w:rsid w:val="000079F3"/>
    <w:rsid w:val="00010534"/>
    <w:rsid w:val="00011A9C"/>
    <w:rsid w:val="000129D1"/>
    <w:rsid w:val="00012CEB"/>
    <w:rsid w:val="00014287"/>
    <w:rsid w:val="000150EE"/>
    <w:rsid w:val="00016C50"/>
    <w:rsid w:val="000173CF"/>
    <w:rsid w:val="00017539"/>
    <w:rsid w:val="00021D47"/>
    <w:rsid w:val="00023B0B"/>
    <w:rsid w:val="00024A89"/>
    <w:rsid w:val="00024B42"/>
    <w:rsid w:val="000251E2"/>
    <w:rsid w:val="000252FC"/>
    <w:rsid w:val="00026AC6"/>
    <w:rsid w:val="0003072B"/>
    <w:rsid w:val="0003095C"/>
    <w:rsid w:val="00032CD4"/>
    <w:rsid w:val="00034AA0"/>
    <w:rsid w:val="000367CE"/>
    <w:rsid w:val="00037A56"/>
    <w:rsid w:val="000415B3"/>
    <w:rsid w:val="0004430B"/>
    <w:rsid w:val="00047595"/>
    <w:rsid w:val="00051BF6"/>
    <w:rsid w:val="00052257"/>
    <w:rsid w:val="00053ACF"/>
    <w:rsid w:val="00053DF1"/>
    <w:rsid w:val="000544AA"/>
    <w:rsid w:val="00055671"/>
    <w:rsid w:val="00057803"/>
    <w:rsid w:val="0006050E"/>
    <w:rsid w:val="00060B82"/>
    <w:rsid w:val="0006125C"/>
    <w:rsid w:val="00061321"/>
    <w:rsid w:val="00062BF4"/>
    <w:rsid w:val="000636AB"/>
    <w:rsid w:val="00063FF4"/>
    <w:rsid w:val="000647CA"/>
    <w:rsid w:val="00066582"/>
    <w:rsid w:val="00066C28"/>
    <w:rsid w:val="0007064F"/>
    <w:rsid w:val="00071E2A"/>
    <w:rsid w:val="00074501"/>
    <w:rsid w:val="00074C71"/>
    <w:rsid w:val="000765BC"/>
    <w:rsid w:val="000768D8"/>
    <w:rsid w:val="00076FD4"/>
    <w:rsid w:val="00081825"/>
    <w:rsid w:val="00081FC6"/>
    <w:rsid w:val="0008231F"/>
    <w:rsid w:val="000846DE"/>
    <w:rsid w:val="000849C8"/>
    <w:rsid w:val="0008521D"/>
    <w:rsid w:val="0008639C"/>
    <w:rsid w:val="000864F6"/>
    <w:rsid w:val="00087CE1"/>
    <w:rsid w:val="00090A26"/>
    <w:rsid w:val="0009301B"/>
    <w:rsid w:val="0009352B"/>
    <w:rsid w:val="00093F55"/>
    <w:rsid w:val="000964CC"/>
    <w:rsid w:val="000A0465"/>
    <w:rsid w:val="000A0D3C"/>
    <w:rsid w:val="000A0E2B"/>
    <w:rsid w:val="000A35B9"/>
    <w:rsid w:val="000A453A"/>
    <w:rsid w:val="000A4BAB"/>
    <w:rsid w:val="000A4F49"/>
    <w:rsid w:val="000A63A2"/>
    <w:rsid w:val="000A6773"/>
    <w:rsid w:val="000A6EED"/>
    <w:rsid w:val="000A7FC5"/>
    <w:rsid w:val="000B1347"/>
    <w:rsid w:val="000B14E2"/>
    <w:rsid w:val="000B1F3A"/>
    <w:rsid w:val="000B3FB8"/>
    <w:rsid w:val="000B528F"/>
    <w:rsid w:val="000B55A4"/>
    <w:rsid w:val="000B6378"/>
    <w:rsid w:val="000B6E7E"/>
    <w:rsid w:val="000B7333"/>
    <w:rsid w:val="000B7FCC"/>
    <w:rsid w:val="000C126D"/>
    <w:rsid w:val="000C2ADA"/>
    <w:rsid w:val="000C3DFC"/>
    <w:rsid w:val="000C3E0D"/>
    <w:rsid w:val="000C44DE"/>
    <w:rsid w:val="000C7330"/>
    <w:rsid w:val="000C7EB2"/>
    <w:rsid w:val="000D21E9"/>
    <w:rsid w:val="000D3554"/>
    <w:rsid w:val="000D3CFF"/>
    <w:rsid w:val="000D5B43"/>
    <w:rsid w:val="000D7893"/>
    <w:rsid w:val="000E11F9"/>
    <w:rsid w:val="000E29EC"/>
    <w:rsid w:val="000E4818"/>
    <w:rsid w:val="000E59A3"/>
    <w:rsid w:val="000E5C16"/>
    <w:rsid w:val="000E5FA1"/>
    <w:rsid w:val="000E6E91"/>
    <w:rsid w:val="000E7D6E"/>
    <w:rsid w:val="000F0762"/>
    <w:rsid w:val="000F0CF2"/>
    <w:rsid w:val="000F188D"/>
    <w:rsid w:val="000F4BC7"/>
    <w:rsid w:val="000F550F"/>
    <w:rsid w:val="000F6EA6"/>
    <w:rsid w:val="000F707D"/>
    <w:rsid w:val="000F7A77"/>
    <w:rsid w:val="001045D8"/>
    <w:rsid w:val="00104665"/>
    <w:rsid w:val="001069B1"/>
    <w:rsid w:val="00107865"/>
    <w:rsid w:val="001120E3"/>
    <w:rsid w:val="00112215"/>
    <w:rsid w:val="00112650"/>
    <w:rsid w:val="00113AFA"/>
    <w:rsid w:val="00114C41"/>
    <w:rsid w:val="0012062A"/>
    <w:rsid w:val="00120E3E"/>
    <w:rsid w:val="00120EA4"/>
    <w:rsid w:val="00125158"/>
    <w:rsid w:val="0012554D"/>
    <w:rsid w:val="0012603E"/>
    <w:rsid w:val="00127AD3"/>
    <w:rsid w:val="00130A6E"/>
    <w:rsid w:val="00131EDB"/>
    <w:rsid w:val="00133C46"/>
    <w:rsid w:val="001346E0"/>
    <w:rsid w:val="0013618E"/>
    <w:rsid w:val="00136BCA"/>
    <w:rsid w:val="00137577"/>
    <w:rsid w:val="00140DC4"/>
    <w:rsid w:val="00145317"/>
    <w:rsid w:val="00146A30"/>
    <w:rsid w:val="00151932"/>
    <w:rsid w:val="00151BB4"/>
    <w:rsid w:val="00153200"/>
    <w:rsid w:val="001536C4"/>
    <w:rsid w:val="001603EF"/>
    <w:rsid w:val="0016100F"/>
    <w:rsid w:val="001640AA"/>
    <w:rsid w:val="001647FC"/>
    <w:rsid w:val="00164854"/>
    <w:rsid w:val="00164899"/>
    <w:rsid w:val="00166F59"/>
    <w:rsid w:val="0017164B"/>
    <w:rsid w:val="00171890"/>
    <w:rsid w:val="00172ABC"/>
    <w:rsid w:val="00173E88"/>
    <w:rsid w:val="001751DD"/>
    <w:rsid w:val="001771FF"/>
    <w:rsid w:val="0017728C"/>
    <w:rsid w:val="00181214"/>
    <w:rsid w:val="001815B1"/>
    <w:rsid w:val="0018203F"/>
    <w:rsid w:val="001820C7"/>
    <w:rsid w:val="0018254E"/>
    <w:rsid w:val="00183E21"/>
    <w:rsid w:val="00186583"/>
    <w:rsid w:val="00186693"/>
    <w:rsid w:val="00186842"/>
    <w:rsid w:val="0019037F"/>
    <w:rsid w:val="00190DF4"/>
    <w:rsid w:val="0019120B"/>
    <w:rsid w:val="001918AF"/>
    <w:rsid w:val="00193217"/>
    <w:rsid w:val="0019428E"/>
    <w:rsid w:val="001942DB"/>
    <w:rsid w:val="00194C56"/>
    <w:rsid w:val="00194E84"/>
    <w:rsid w:val="001A1A15"/>
    <w:rsid w:val="001A267E"/>
    <w:rsid w:val="001A516E"/>
    <w:rsid w:val="001A5B31"/>
    <w:rsid w:val="001A646E"/>
    <w:rsid w:val="001A7093"/>
    <w:rsid w:val="001B2EC5"/>
    <w:rsid w:val="001B39B6"/>
    <w:rsid w:val="001B4535"/>
    <w:rsid w:val="001B63D0"/>
    <w:rsid w:val="001B66B4"/>
    <w:rsid w:val="001B67ED"/>
    <w:rsid w:val="001C01D4"/>
    <w:rsid w:val="001C25C8"/>
    <w:rsid w:val="001C33CB"/>
    <w:rsid w:val="001C3AD0"/>
    <w:rsid w:val="001C4121"/>
    <w:rsid w:val="001C419D"/>
    <w:rsid w:val="001C4232"/>
    <w:rsid w:val="001C496D"/>
    <w:rsid w:val="001C49D6"/>
    <w:rsid w:val="001C4D1E"/>
    <w:rsid w:val="001C5011"/>
    <w:rsid w:val="001C7A6C"/>
    <w:rsid w:val="001D1134"/>
    <w:rsid w:val="001D1B79"/>
    <w:rsid w:val="001D1E9A"/>
    <w:rsid w:val="001D3511"/>
    <w:rsid w:val="001D3D4B"/>
    <w:rsid w:val="001D5A83"/>
    <w:rsid w:val="001D7829"/>
    <w:rsid w:val="001E11D2"/>
    <w:rsid w:val="001E221F"/>
    <w:rsid w:val="001E41FB"/>
    <w:rsid w:val="001E479A"/>
    <w:rsid w:val="001E53FF"/>
    <w:rsid w:val="001E7EF4"/>
    <w:rsid w:val="001F0447"/>
    <w:rsid w:val="001F04AA"/>
    <w:rsid w:val="001F091E"/>
    <w:rsid w:val="001F10E6"/>
    <w:rsid w:val="001F1DEB"/>
    <w:rsid w:val="001F3169"/>
    <w:rsid w:val="001F38C0"/>
    <w:rsid w:val="001F41A3"/>
    <w:rsid w:val="001F5339"/>
    <w:rsid w:val="001F69A0"/>
    <w:rsid w:val="001F79B5"/>
    <w:rsid w:val="001F7C17"/>
    <w:rsid w:val="002016B8"/>
    <w:rsid w:val="00201C5F"/>
    <w:rsid w:val="00202538"/>
    <w:rsid w:val="00202D13"/>
    <w:rsid w:val="002039E3"/>
    <w:rsid w:val="00203AE8"/>
    <w:rsid w:val="002050DA"/>
    <w:rsid w:val="0020528C"/>
    <w:rsid w:val="0020539C"/>
    <w:rsid w:val="002063D2"/>
    <w:rsid w:val="002111C0"/>
    <w:rsid w:val="0021141D"/>
    <w:rsid w:val="002119D4"/>
    <w:rsid w:val="00211EEF"/>
    <w:rsid w:val="00214479"/>
    <w:rsid w:val="00215403"/>
    <w:rsid w:val="0021579D"/>
    <w:rsid w:val="00216776"/>
    <w:rsid w:val="00217606"/>
    <w:rsid w:val="0021799A"/>
    <w:rsid w:val="00220F3A"/>
    <w:rsid w:val="00222060"/>
    <w:rsid w:val="00222F7D"/>
    <w:rsid w:val="0022338C"/>
    <w:rsid w:val="002239AE"/>
    <w:rsid w:val="00225153"/>
    <w:rsid w:val="00225FFF"/>
    <w:rsid w:val="00226D79"/>
    <w:rsid w:val="00227BA8"/>
    <w:rsid w:val="00230C5B"/>
    <w:rsid w:val="00230FBA"/>
    <w:rsid w:val="00231728"/>
    <w:rsid w:val="00231F9F"/>
    <w:rsid w:val="00232F46"/>
    <w:rsid w:val="00234470"/>
    <w:rsid w:val="002363D7"/>
    <w:rsid w:val="00236A8E"/>
    <w:rsid w:val="00240736"/>
    <w:rsid w:val="00240DC1"/>
    <w:rsid w:val="0024156E"/>
    <w:rsid w:val="00241C94"/>
    <w:rsid w:val="00241CF5"/>
    <w:rsid w:val="00242A26"/>
    <w:rsid w:val="0024437E"/>
    <w:rsid w:val="0024682E"/>
    <w:rsid w:val="00252DD1"/>
    <w:rsid w:val="0025339B"/>
    <w:rsid w:val="002566C8"/>
    <w:rsid w:val="002567F2"/>
    <w:rsid w:val="00256ADF"/>
    <w:rsid w:val="00263C50"/>
    <w:rsid w:val="00263F10"/>
    <w:rsid w:val="00265299"/>
    <w:rsid w:val="002656E4"/>
    <w:rsid w:val="00265784"/>
    <w:rsid w:val="00267D2A"/>
    <w:rsid w:val="00270065"/>
    <w:rsid w:val="00270481"/>
    <w:rsid w:val="002733DF"/>
    <w:rsid w:val="00274117"/>
    <w:rsid w:val="0027436F"/>
    <w:rsid w:val="00274D77"/>
    <w:rsid w:val="00275127"/>
    <w:rsid w:val="00275BE6"/>
    <w:rsid w:val="00277D05"/>
    <w:rsid w:val="00283042"/>
    <w:rsid w:val="0028448C"/>
    <w:rsid w:val="00284FA0"/>
    <w:rsid w:val="00285731"/>
    <w:rsid w:val="00285848"/>
    <w:rsid w:val="00286277"/>
    <w:rsid w:val="00286981"/>
    <w:rsid w:val="00290549"/>
    <w:rsid w:val="00291391"/>
    <w:rsid w:val="002923BD"/>
    <w:rsid w:val="0029242F"/>
    <w:rsid w:val="002938DC"/>
    <w:rsid w:val="002940A5"/>
    <w:rsid w:val="00295839"/>
    <w:rsid w:val="00295B16"/>
    <w:rsid w:val="00296162"/>
    <w:rsid w:val="00296240"/>
    <w:rsid w:val="00297665"/>
    <w:rsid w:val="002A05F6"/>
    <w:rsid w:val="002A0AD7"/>
    <w:rsid w:val="002A3127"/>
    <w:rsid w:val="002A5130"/>
    <w:rsid w:val="002A68E0"/>
    <w:rsid w:val="002A6B35"/>
    <w:rsid w:val="002B1E90"/>
    <w:rsid w:val="002B2E3A"/>
    <w:rsid w:val="002B59C4"/>
    <w:rsid w:val="002B68A7"/>
    <w:rsid w:val="002B6E3F"/>
    <w:rsid w:val="002B79A1"/>
    <w:rsid w:val="002B79C6"/>
    <w:rsid w:val="002B7B6B"/>
    <w:rsid w:val="002C02E6"/>
    <w:rsid w:val="002C32E8"/>
    <w:rsid w:val="002C38C8"/>
    <w:rsid w:val="002C5BD7"/>
    <w:rsid w:val="002C5C8A"/>
    <w:rsid w:val="002C7536"/>
    <w:rsid w:val="002D0437"/>
    <w:rsid w:val="002D138E"/>
    <w:rsid w:val="002D43D0"/>
    <w:rsid w:val="002D62B3"/>
    <w:rsid w:val="002E339A"/>
    <w:rsid w:val="002E3F52"/>
    <w:rsid w:val="002E4C0A"/>
    <w:rsid w:val="002F0683"/>
    <w:rsid w:val="002F0D4E"/>
    <w:rsid w:val="002F23B0"/>
    <w:rsid w:val="002F31E3"/>
    <w:rsid w:val="002F39CC"/>
    <w:rsid w:val="002F5113"/>
    <w:rsid w:val="002F62F5"/>
    <w:rsid w:val="002F6D89"/>
    <w:rsid w:val="002F6DF8"/>
    <w:rsid w:val="0030034B"/>
    <w:rsid w:val="003005E5"/>
    <w:rsid w:val="0030278D"/>
    <w:rsid w:val="003034C9"/>
    <w:rsid w:val="00303B17"/>
    <w:rsid w:val="0030434C"/>
    <w:rsid w:val="00305BB2"/>
    <w:rsid w:val="00305F60"/>
    <w:rsid w:val="0030672B"/>
    <w:rsid w:val="00306788"/>
    <w:rsid w:val="00306A62"/>
    <w:rsid w:val="00312C57"/>
    <w:rsid w:val="00313556"/>
    <w:rsid w:val="003136A9"/>
    <w:rsid w:val="0031489B"/>
    <w:rsid w:val="003163FC"/>
    <w:rsid w:val="003173F0"/>
    <w:rsid w:val="003224E0"/>
    <w:rsid w:val="00326B5B"/>
    <w:rsid w:val="00327B32"/>
    <w:rsid w:val="0033272A"/>
    <w:rsid w:val="0033326D"/>
    <w:rsid w:val="0033349F"/>
    <w:rsid w:val="00335B40"/>
    <w:rsid w:val="00336810"/>
    <w:rsid w:val="00336CAB"/>
    <w:rsid w:val="00340281"/>
    <w:rsid w:val="00340EFB"/>
    <w:rsid w:val="00341A3E"/>
    <w:rsid w:val="00342135"/>
    <w:rsid w:val="003443A0"/>
    <w:rsid w:val="003467BC"/>
    <w:rsid w:val="00347A38"/>
    <w:rsid w:val="00347CE8"/>
    <w:rsid w:val="0035095E"/>
    <w:rsid w:val="00350B0A"/>
    <w:rsid w:val="00352FD2"/>
    <w:rsid w:val="00353508"/>
    <w:rsid w:val="00354042"/>
    <w:rsid w:val="0035409D"/>
    <w:rsid w:val="003550F6"/>
    <w:rsid w:val="003575B5"/>
    <w:rsid w:val="0035779B"/>
    <w:rsid w:val="00360396"/>
    <w:rsid w:val="003614B2"/>
    <w:rsid w:val="00362E01"/>
    <w:rsid w:val="00363D7F"/>
    <w:rsid w:val="003642AF"/>
    <w:rsid w:val="0036604B"/>
    <w:rsid w:val="00371365"/>
    <w:rsid w:val="003713B5"/>
    <w:rsid w:val="00371C7A"/>
    <w:rsid w:val="00373781"/>
    <w:rsid w:val="003743D0"/>
    <w:rsid w:val="003751AD"/>
    <w:rsid w:val="00375975"/>
    <w:rsid w:val="00376E84"/>
    <w:rsid w:val="00377A84"/>
    <w:rsid w:val="00380294"/>
    <w:rsid w:val="00380350"/>
    <w:rsid w:val="00380E40"/>
    <w:rsid w:val="0038223D"/>
    <w:rsid w:val="003860D1"/>
    <w:rsid w:val="00387536"/>
    <w:rsid w:val="00387847"/>
    <w:rsid w:val="00387E0E"/>
    <w:rsid w:val="003922A3"/>
    <w:rsid w:val="00392523"/>
    <w:rsid w:val="0039325E"/>
    <w:rsid w:val="003944DB"/>
    <w:rsid w:val="00394958"/>
    <w:rsid w:val="00394DC4"/>
    <w:rsid w:val="003A2D16"/>
    <w:rsid w:val="003A5BB7"/>
    <w:rsid w:val="003A5C96"/>
    <w:rsid w:val="003A61BB"/>
    <w:rsid w:val="003A6C34"/>
    <w:rsid w:val="003A704E"/>
    <w:rsid w:val="003B0414"/>
    <w:rsid w:val="003B1F5D"/>
    <w:rsid w:val="003B20C7"/>
    <w:rsid w:val="003B2D0B"/>
    <w:rsid w:val="003B53F0"/>
    <w:rsid w:val="003C45D8"/>
    <w:rsid w:val="003C7374"/>
    <w:rsid w:val="003C7C94"/>
    <w:rsid w:val="003D3905"/>
    <w:rsid w:val="003E016D"/>
    <w:rsid w:val="003E0183"/>
    <w:rsid w:val="003E0F50"/>
    <w:rsid w:val="003E20ED"/>
    <w:rsid w:val="003E2664"/>
    <w:rsid w:val="003E5F62"/>
    <w:rsid w:val="003F0310"/>
    <w:rsid w:val="003F070D"/>
    <w:rsid w:val="003F136D"/>
    <w:rsid w:val="003F18DB"/>
    <w:rsid w:val="003F1D96"/>
    <w:rsid w:val="003F24F2"/>
    <w:rsid w:val="003F3A22"/>
    <w:rsid w:val="003F5FAB"/>
    <w:rsid w:val="00401D19"/>
    <w:rsid w:val="00402C9D"/>
    <w:rsid w:val="00403927"/>
    <w:rsid w:val="004040A0"/>
    <w:rsid w:val="00404DA1"/>
    <w:rsid w:val="00404E16"/>
    <w:rsid w:val="0040632F"/>
    <w:rsid w:val="0040714C"/>
    <w:rsid w:val="00410A44"/>
    <w:rsid w:val="00410FE5"/>
    <w:rsid w:val="004144EE"/>
    <w:rsid w:val="00414915"/>
    <w:rsid w:val="00414A24"/>
    <w:rsid w:val="00414F7E"/>
    <w:rsid w:val="004152BF"/>
    <w:rsid w:val="00416728"/>
    <w:rsid w:val="00416E57"/>
    <w:rsid w:val="00417B0F"/>
    <w:rsid w:val="00417C79"/>
    <w:rsid w:val="00417E94"/>
    <w:rsid w:val="00420E95"/>
    <w:rsid w:val="0042232F"/>
    <w:rsid w:val="00423383"/>
    <w:rsid w:val="00425143"/>
    <w:rsid w:val="004267A1"/>
    <w:rsid w:val="004268CD"/>
    <w:rsid w:val="00426ED9"/>
    <w:rsid w:val="00427199"/>
    <w:rsid w:val="00427607"/>
    <w:rsid w:val="004278F5"/>
    <w:rsid w:val="00427EA6"/>
    <w:rsid w:val="00430286"/>
    <w:rsid w:val="0043061E"/>
    <w:rsid w:val="00431CCE"/>
    <w:rsid w:val="004321A2"/>
    <w:rsid w:val="004329FF"/>
    <w:rsid w:val="0043340A"/>
    <w:rsid w:val="00434BD9"/>
    <w:rsid w:val="00435913"/>
    <w:rsid w:val="00437C7F"/>
    <w:rsid w:val="004416CD"/>
    <w:rsid w:val="00441CD9"/>
    <w:rsid w:val="004420E3"/>
    <w:rsid w:val="00443598"/>
    <w:rsid w:val="00445F9E"/>
    <w:rsid w:val="004471D6"/>
    <w:rsid w:val="004500C7"/>
    <w:rsid w:val="00450B2F"/>
    <w:rsid w:val="00450CB1"/>
    <w:rsid w:val="0045159F"/>
    <w:rsid w:val="004516D5"/>
    <w:rsid w:val="004571D0"/>
    <w:rsid w:val="00457262"/>
    <w:rsid w:val="0046007B"/>
    <w:rsid w:val="0046202F"/>
    <w:rsid w:val="00465A1A"/>
    <w:rsid w:val="00466989"/>
    <w:rsid w:val="00471023"/>
    <w:rsid w:val="00472312"/>
    <w:rsid w:val="00472452"/>
    <w:rsid w:val="004752B5"/>
    <w:rsid w:val="0047547A"/>
    <w:rsid w:val="00480008"/>
    <w:rsid w:val="004810FA"/>
    <w:rsid w:val="004811EE"/>
    <w:rsid w:val="00482888"/>
    <w:rsid w:val="004837E7"/>
    <w:rsid w:val="004904F0"/>
    <w:rsid w:val="00493F42"/>
    <w:rsid w:val="004941C5"/>
    <w:rsid w:val="00495982"/>
    <w:rsid w:val="004963FA"/>
    <w:rsid w:val="004A0876"/>
    <w:rsid w:val="004A2012"/>
    <w:rsid w:val="004A271A"/>
    <w:rsid w:val="004A274C"/>
    <w:rsid w:val="004A2B6C"/>
    <w:rsid w:val="004A38E5"/>
    <w:rsid w:val="004A4761"/>
    <w:rsid w:val="004A5130"/>
    <w:rsid w:val="004A51AD"/>
    <w:rsid w:val="004B0BEE"/>
    <w:rsid w:val="004B292D"/>
    <w:rsid w:val="004B58B9"/>
    <w:rsid w:val="004B727D"/>
    <w:rsid w:val="004C151F"/>
    <w:rsid w:val="004C4F6D"/>
    <w:rsid w:val="004C558E"/>
    <w:rsid w:val="004C64C2"/>
    <w:rsid w:val="004C704F"/>
    <w:rsid w:val="004C740E"/>
    <w:rsid w:val="004C7F2E"/>
    <w:rsid w:val="004D0181"/>
    <w:rsid w:val="004D1AF2"/>
    <w:rsid w:val="004D3156"/>
    <w:rsid w:val="004D3E8E"/>
    <w:rsid w:val="004D4323"/>
    <w:rsid w:val="004D4473"/>
    <w:rsid w:val="004D455F"/>
    <w:rsid w:val="004D70DE"/>
    <w:rsid w:val="004D7830"/>
    <w:rsid w:val="004D796C"/>
    <w:rsid w:val="004D798C"/>
    <w:rsid w:val="004D7D47"/>
    <w:rsid w:val="004E3011"/>
    <w:rsid w:val="004E3E42"/>
    <w:rsid w:val="004E4255"/>
    <w:rsid w:val="004E4752"/>
    <w:rsid w:val="004E4815"/>
    <w:rsid w:val="004E4DFD"/>
    <w:rsid w:val="004E51B2"/>
    <w:rsid w:val="004E66C3"/>
    <w:rsid w:val="004E6D48"/>
    <w:rsid w:val="004F006B"/>
    <w:rsid w:val="004F036D"/>
    <w:rsid w:val="004F1CCA"/>
    <w:rsid w:val="004F1F33"/>
    <w:rsid w:val="004F325E"/>
    <w:rsid w:val="004F491D"/>
    <w:rsid w:val="004F49C3"/>
    <w:rsid w:val="004F52C2"/>
    <w:rsid w:val="004F54AD"/>
    <w:rsid w:val="004F6BF5"/>
    <w:rsid w:val="004F7001"/>
    <w:rsid w:val="0050109A"/>
    <w:rsid w:val="00501238"/>
    <w:rsid w:val="00502166"/>
    <w:rsid w:val="00502FB6"/>
    <w:rsid w:val="005032A1"/>
    <w:rsid w:val="0050596C"/>
    <w:rsid w:val="00507602"/>
    <w:rsid w:val="00507FB2"/>
    <w:rsid w:val="0051297F"/>
    <w:rsid w:val="005143ED"/>
    <w:rsid w:val="00514641"/>
    <w:rsid w:val="00514F37"/>
    <w:rsid w:val="00515EFE"/>
    <w:rsid w:val="0051718A"/>
    <w:rsid w:val="005178C7"/>
    <w:rsid w:val="00522BB6"/>
    <w:rsid w:val="00524116"/>
    <w:rsid w:val="00524B31"/>
    <w:rsid w:val="00526DAE"/>
    <w:rsid w:val="00527DDD"/>
    <w:rsid w:val="00530156"/>
    <w:rsid w:val="005312A7"/>
    <w:rsid w:val="00532DEC"/>
    <w:rsid w:val="005336E1"/>
    <w:rsid w:val="00534728"/>
    <w:rsid w:val="0053580E"/>
    <w:rsid w:val="00535FBB"/>
    <w:rsid w:val="00537D0C"/>
    <w:rsid w:val="00540762"/>
    <w:rsid w:val="00542A4B"/>
    <w:rsid w:val="00543D96"/>
    <w:rsid w:val="0054492D"/>
    <w:rsid w:val="00550D7F"/>
    <w:rsid w:val="0055545F"/>
    <w:rsid w:val="00555BCD"/>
    <w:rsid w:val="00555ED5"/>
    <w:rsid w:val="00556509"/>
    <w:rsid w:val="005576E6"/>
    <w:rsid w:val="00560D4C"/>
    <w:rsid w:val="00562B68"/>
    <w:rsid w:val="0056361F"/>
    <w:rsid w:val="00565BA2"/>
    <w:rsid w:val="005661EA"/>
    <w:rsid w:val="005668E0"/>
    <w:rsid w:val="00567A22"/>
    <w:rsid w:val="00567F9D"/>
    <w:rsid w:val="0057007E"/>
    <w:rsid w:val="00571A53"/>
    <w:rsid w:val="005728A3"/>
    <w:rsid w:val="00573580"/>
    <w:rsid w:val="005747F6"/>
    <w:rsid w:val="00575EF3"/>
    <w:rsid w:val="0058088E"/>
    <w:rsid w:val="005820C7"/>
    <w:rsid w:val="00585ABE"/>
    <w:rsid w:val="005864DC"/>
    <w:rsid w:val="005870BA"/>
    <w:rsid w:val="00587EEC"/>
    <w:rsid w:val="00591DE7"/>
    <w:rsid w:val="00592B23"/>
    <w:rsid w:val="00594566"/>
    <w:rsid w:val="005952F1"/>
    <w:rsid w:val="0059628E"/>
    <w:rsid w:val="00596322"/>
    <w:rsid w:val="005964D8"/>
    <w:rsid w:val="00596CCD"/>
    <w:rsid w:val="005972C1"/>
    <w:rsid w:val="005A070B"/>
    <w:rsid w:val="005A0A05"/>
    <w:rsid w:val="005A1057"/>
    <w:rsid w:val="005A1279"/>
    <w:rsid w:val="005A1D73"/>
    <w:rsid w:val="005A38BD"/>
    <w:rsid w:val="005A4364"/>
    <w:rsid w:val="005A46F9"/>
    <w:rsid w:val="005A4CE2"/>
    <w:rsid w:val="005A5967"/>
    <w:rsid w:val="005A6C41"/>
    <w:rsid w:val="005B0316"/>
    <w:rsid w:val="005B1F4A"/>
    <w:rsid w:val="005B209D"/>
    <w:rsid w:val="005B2E11"/>
    <w:rsid w:val="005B4978"/>
    <w:rsid w:val="005B746F"/>
    <w:rsid w:val="005B747E"/>
    <w:rsid w:val="005C0376"/>
    <w:rsid w:val="005C14D2"/>
    <w:rsid w:val="005C2730"/>
    <w:rsid w:val="005C3165"/>
    <w:rsid w:val="005C3851"/>
    <w:rsid w:val="005C4D53"/>
    <w:rsid w:val="005D0F1E"/>
    <w:rsid w:val="005D2763"/>
    <w:rsid w:val="005D2C45"/>
    <w:rsid w:val="005D4623"/>
    <w:rsid w:val="005D5E1D"/>
    <w:rsid w:val="005D64FD"/>
    <w:rsid w:val="005D6D30"/>
    <w:rsid w:val="005D727E"/>
    <w:rsid w:val="005D7D78"/>
    <w:rsid w:val="005E2C6C"/>
    <w:rsid w:val="005E2D9A"/>
    <w:rsid w:val="005E5A3E"/>
    <w:rsid w:val="005E63D4"/>
    <w:rsid w:val="005F0C0C"/>
    <w:rsid w:val="005F2E8A"/>
    <w:rsid w:val="005F2FE3"/>
    <w:rsid w:val="005F4351"/>
    <w:rsid w:val="005F59F3"/>
    <w:rsid w:val="005F67C0"/>
    <w:rsid w:val="005F6CAA"/>
    <w:rsid w:val="0060124C"/>
    <w:rsid w:val="006026B5"/>
    <w:rsid w:val="00603A9A"/>
    <w:rsid w:val="006043A2"/>
    <w:rsid w:val="00606253"/>
    <w:rsid w:val="00606465"/>
    <w:rsid w:val="0060793B"/>
    <w:rsid w:val="006107E8"/>
    <w:rsid w:val="00610E31"/>
    <w:rsid w:val="00612271"/>
    <w:rsid w:val="0061249D"/>
    <w:rsid w:val="00612E38"/>
    <w:rsid w:val="0061492B"/>
    <w:rsid w:val="0061496C"/>
    <w:rsid w:val="00614B30"/>
    <w:rsid w:val="00617AB6"/>
    <w:rsid w:val="0062069C"/>
    <w:rsid w:val="00621AB6"/>
    <w:rsid w:val="00621F8B"/>
    <w:rsid w:val="00623FBD"/>
    <w:rsid w:val="006275C0"/>
    <w:rsid w:val="006275FC"/>
    <w:rsid w:val="00630BA9"/>
    <w:rsid w:val="006315B5"/>
    <w:rsid w:val="00631901"/>
    <w:rsid w:val="00631CD4"/>
    <w:rsid w:val="00631DFE"/>
    <w:rsid w:val="006320A5"/>
    <w:rsid w:val="00632DE1"/>
    <w:rsid w:val="0063379D"/>
    <w:rsid w:val="00635850"/>
    <w:rsid w:val="00635B38"/>
    <w:rsid w:val="006372D1"/>
    <w:rsid w:val="00637936"/>
    <w:rsid w:val="00637B74"/>
    <w:rsid w:val="006405A4"/>
    <w:rsid w:val="0064081F"/>
    <w:rsid w:val="006437B6"/>
    <w:rsid w:val="00643CFC"/>
    <w:rsid w:val="00644D7F"/>
    <w:rsid w:val="00647973"/>
    <w:rsid w:val="006506C2"/>
    <w:rsid w:val="0065144E"/>
    <w:rsid w:val="006549E3"/>
    <w:rsid w:val="00654F57"/>
    <w:rsid w:val="006554A6"/>
    <w:rsid w:val="006555CF"/>
    <w:rsid w:val="00655665"/>
    <w:rsid w:val="00655A71"/>
    <w:rsid w:val="00655F0F"/>
    <w:rsid w:val="00656178"/>
    <w:rsid w:val="0065702A"/>
    <w:rsid w:val="00657066"/>
    <w:rsid w:val="006606E2"/>
    <w:rsid w:val="00661180"/>
    <w:rsid w:val="006612CC"/>
    <w:rsid w:val="0066249A"/>
    <w:rsid w:val="00662656"/>
    <w:rsid w:val="00662A39"/>
    <w:rsid w:val="006649AE"/>
    <w:rsid w:val="00664E5D"/>
    <w:rsid w:val="00664EE8"/>
    <w:rsid w:val="00665160"/>
    <w:rsid w:val="00665607"/>
    <w:rsid w:val="00665D0E"/>
    <w:rsid w:val="00666EAE"/>
    <w:rsid w:val="00667900"/>
    <w:rsid w:val="0067023C"/>
    <w:rsid w:val="00670E76"/>
    <w:rsid w:val="00670E8B"/>
    <w:rsid w:val="00671385"/>
    <w:rsid w:val="00673061"/>
    <w:rsid w:val="006809B9"/>
    <w:rsid w:val="006827F2"/>
    <w:rsid w:val="00690610"/>
    <w:rsid w:val="00691A83"/>
    <w:rsid w:val="006964ED"/>
    <w:rsid w:val="006A0498"/>
    <w:rsid w:val="006A0CA0"/>
    <w:rsid w:val="006A15BC"/>
    <w:rsid w:val="006A421E"/>
    <w:rsid w:val="006A4422"/>
    <w:rsid w:val="006A5005"/>
    <w:rsid w:val="006A6672"/>
    <w:rsid w:val="006A6C1F"/>
    <w:rsid w:val="006A6F50"/>
    <w:rsid w:val="006A74FE"/>
    <w:rsid w:val="006B0C10"/>
    <w:rsid w:val="006B1128"/>
    <w:rsid w:val="006B1217"/>
    <w:rsid w:val="006B165D"/>
    <w:rsid w:val="006B1726"/>
    <w:rsid w:val="006B1804"/>
    <w:rsid w:val="006B24B8"/>
    <w:rsid w:val="006B27A4"/>
    <w:rsid w:val="006B2CDD"/>
    <w:rsid w:val="006B57CD"/>
    <w:rsid w:val="006B651E"/>
    <w:rsid w:val="006B7AA2"/>
    <w:rsid w:val="006C10C7"/>
    <w:rsid w:val="006C1E22"/>
    <w:rsid w:val="006C2F32"/>
    <w:rsid w:val="006C34B4"/>
    <w:rsid w:val="006C54F3"/>
    <w:rsid w:val="006C573B"/>
    <w:rsid w:val="006C60B9"/>
    <w:rsid w:val="006C6BA9"/>
    <w:rsid w:val="006D38D5"/>
    <w:rsid w:val="006D3E7D"/>
    <w:rsid w:val="006D4617"/>
    <w:rsid w:val="006D50DA"/>
    <w:rsid w:val="006D5DBD"/>
    <w:rsid w:val="006E25C7"/>
    <w:rsid w:val="006E284D"/>
    <w:rsid w:val="006E38A5"/>
    <w:rsid w:val="006E50B8"/>
    <w:rsid w:val="006E7A71"/>
    <w:rsid w:val="006F58AC"/>
    <w:rsid w:val="007001AC"/>
    <w:rsid w:val="0070040D"/>
    <w:rsid w:val="007007AE"/>
    <w:rsid w:val="00701845"/>
    <w:rsid w:val="00702572"/>
    <w:rsid w:val="00703931"/>
    <w:rsid w:val="0070438A"/>
    <w:rsid w:val="00704C8D"/>
    <w:rsid w:val="007050B5"/>
    <w:rsid w:val="00706737"/>
    <w:rsid w:val="00706DC8"/>
    <w:rsid w:val="00710220"/>
    <w:rsid w:val="00711A67"/>
    <w:rsid w:val="0071255D"/>
    <w:rsid w:val="00713920"/>
    <w:rsid w:val="00715EB6"/>
    <w:rsid w:val="00716814"/>
    <w:rsid w:val="00721A2B"/>
    <w:rsid w:val="007233C5"/>
    <w:rsid w:val="00723BFC"/>
    <w:rsid w:val="00724359"/>
    <w:rsid w:val="00725F06"/>
    <w:rsid w:val="00726B92"/>
    <w:rsid w:val="00730E0A"/>
    <w:rsid w:val="0073145D"/>
    <w:rsid w:val="00731863"/>
    <w:rsid w:val="007351DB"/>
    <w:rsid w:val="00735B4C"/>
    <w:rsid w:val="00735B82"/>
    <w:rsid w:val="0073651C"/>
    <w:rsid w:val="00736F66"/>
    <w:rsid w:val="00737426"/>
    <w:rsid w:val="00744EB0"/>
    <w:rsid w:val="00745D91"/>
    <w:rsid w:val="00746BF3"/>
    <w:rsid w:val="007501D1"/>
    <w:rsid w:val="00752474"/>
    <w:rsid w:val="00752B09"/>
    <w:rsid w:val="00753A7E"/>
    <w:rsid w:val="00756088"/>
    <w:rsid w:val="0075756E"/>
    <w:rsid w:val="00762368"/>
    <w:rsid w:val="0076317F"/>
    <w:rsid w:val="007710FE"/>
    <w:rsid w:val="00772517"/>
    <w:rsid w:val="00772875"/>
    <w:rsid w:val="00772DFF"/>
    <w:rsid w:val="007736C7"/>
    <w:rsid w:val="007744EC"/>
    <w:rsid w:val="00774D60"/>
    <w:rsid w:val="007753B9"/>
    <w:rsid w:val="00780354"/>
    <w:rsid w:val="00780B31"/>
    <w:rsid w:val="00783B36"/>
    <w:rsid w:val="00783D20"/>
    <w:rsid w:val="0078553E"/>
    <w:rsid w:val="00785B73"/>
    <w:rsid w:val="00785EC7"/>
    <w:rsid w:val="00786942"/>
    <w:rsid w:val="0078772A"/>
    <w:rsid w:val="00787B32"/>
    <w:rsid w:val="0079245D"/>
    <w:rsid w:val="007925A9"/>
    <w:rsid w:val="0079346F"/>
    <w:rsid w:val="00796D87"/>
    <w:rsid w:val="007A09F2"/>
    <w:rsid w:val="007A1BE4"/>
    <w:rsid w:val="007A4839"/>
    <w:rsid w:val="007A56B3"/>
    <w:rsid w:val="007A6EA6"/>
    <w:rsid w:val="007A7EE6"/>
    <w:rsid w:val="007B1773"/>
    <w:rsid w:val="007B28AF"/>
    <w:rsid w:val="007B38CD"/>
    <w:rsid w:val="007B3AB0"/>
    <w:rsid w:val="007B5023"/>
    <w:rsid w:val="007B5E6F"/>
    <w:rsid w:val="007B6A0B"/>
    <w:rsid w:val="007B799B"/>
    <w:rsid w:val="007B7DE2"/>
    <w:rsid w:val="007C0536"/>
    <w:rsid w:val="007C0F76"/>
    <w:rsid w:val="007C17DC"/>
    <w:rsid w:val="007C37FE"/>
    <w:rsid w:val="007C3BD3"/>
    <w:rsid w:val="007C5656"/>
    <w:rsid w:val="007C64AB"/>
    <w:rsid w:val="007D03A7"/>
    <w:rsid w:val="007D28C9"/>
    <w:rsid w:val="007D5F5D"/>
    <w:rsid w:val="007D7F6B"/>
    <w:rsid w:val="007E24A6"/>
    <w:rsid w:val="007E42CC"/>
    <w:rsid w:val="007E52DC"/>
    <w:rsid w:val="007E52E2"/>
    <w:rsid w:val="007E641B"/>
    <w:rsid w:val="007E7317"/>
    <w:rsid w:val="007F0061"/>
    <w:rsid w:val="007F074C"/>
    <w:rsid w:val="007F1D7C"/>
    <w:rsid w:val="007F3260"/>
    <w:rsid w:val="007F3427"/>
    <w:rsid w:val="007F4ED4"/>
    <w:rsid w:val="007F7EF0"/>
    <w:rsid w:val="0080088C"/>
    <w:rsid w:val="008025B8"/>
    <w:rsid w:val="00803C94"/>
    <w:rsid w:val="00804604"/>
    <w:rsid w:val="00805C8C"/>
    <w:rsid w:val="0081082B"/>
    <w:rsid w:val="00811CA3"/>
    <w:rsid w:val="00812739"/>
    <w:rsid w:val="00813133"/>
    <w:rsid w:val="008135B1"/>
    <w:rsid w:val="00813CA7"/>
    <w:rsid w:val="00814576"/>
    <w:rsid w:val="00814C2C"/>
    <w:rsid w:val="00814FB1"/>
    <w:rsid w:val="00816771"/>
    <w:rsid w:val="0081679E"/>
    <w:rsid w:val="008172A0"/>
    <w:rsid w:val="008210FC"/>
    <w:rsid w:val="00821B89"/>
    <w:rsid w:val="0082540B"/>
    <w:rsid w:val="00825AC5"/>
    <w:rsid w:val="00825ED8"/>
    <w:rsid w:val="00826118"/>
    <w:rsid w:val="00826D1E"/>
    <w:rsid w:val="008278AF"/>
    <w:rsid w:val="008319B7"/>
    <w:rsid w:val="00833590"/>
    <w:rsid w:val="008344B3"/>
    <w:rsid w:val="00834675"/>
    <w:rsid w:val="00835B05"/>
    <w:rsid w:val="008361EF"/>
    <w:rsid w:val="00840DFA"/>
    <w:rsid w:val="00845B0A"/>
    <w:rsid w:val="00845D8A"/>
    <w:rsid w:val="008462B6"/>
    <w:rsid w:val="0084751E"/>
    <w:rsid w:val="00850347"/>
    <w:rsid w:val="00850DE8"/>
    <w:rsid w:val="008536EA"/>
    <w:rsid w:val="00853DE5"/>
    <w:rsid w:val="00856DD6"/>
    <w:rsid w:val="00860732"/>
    <w:rsid w:val="00863508"/>
    <w:rsid w:val="00863579"/>
    <w:rsid w:val="00863E72"/>
    <w:rsid w:val="0086413C"/>
    <w:rsid w:val="00864EB5"/>
    <w:rsid w:val="008664C1"/>
    <w:rsid w:val="008720AB"/>
    <w:rsid w:val="00873EB0"/>
    <w:rsid w:val="00877A64"/>
    <w:rsid w:val="00877E97"/>
    <w:rsid w:val="00880858"/>
    <w:rsid w:val="00880F88"/>
    <w:rsid w:val="00882626"/>
    <w:rsid w:val="008827C4"/>
    <w:rsid w:val="008829E7"/>
    <w:rsid w:val="008830B3"/>
    <w:rsid w:val="0088314F"/>
    <w:rsid w:val="008833DA"/>
    <w:rsid w:val="00884E57"/>
    <w:rsid w:val="00885D10"/>
    <w:rsid w:val="0088720A"/>
    <w:rsid w:val="00887D82"/>
    <w:rsid w:val="0089000A"/>
    <w:rsid w:val="00890EE1"/>
    <w:rsid w:val="00891908"/>
    <w:rsid w:val="00891925"/>
    <w:rsid w:val="00893DE0"/>
    <w:rsid w:val="0089544F"/>
    <w:rsid w:val="008A1E5E"/>
    <w:rsid w:val="008A2F78"/>
    <w:rsid w:val="008A33ED"/>
    <w:rsid w:val="008A5F3D"/>
    <w:rsid w:val="008A7950"/>
    <w:rsid w:val="008B0A8B"/>
    <w:rsid w:val="008B0CB3"/>
    <w:rsid w:val="008B2AE9"/>
    <w:rsid w:val="008B6766"/>
    <w:rsid w:val="008B6BA9"/>
    <w:rsid w:val="008B7937"/>
    <w:rsid w:val="008C02AF"/>
    <w:rsid w:val="008C1015"/>
    <w:rsid w:val="008C31F2"/>
    <w:rsid w:val="008C33E1"/>
    <w:rsid w:val="008C4682"/>
    <w:rsid w:val="008C4B4C"/>
    <w:rsid w:val="008C5736"/>
    <w:rsid w:val="008C59BC"/>
    <w:rsid w:val="008D0BC9"/>
    <w:rsid w:val="008D2343"/>
    <w:rsid w:val="008D297B"/>
    <w:rsid w:val="008D3607"/>
    <w:rsid w:val="008D369C"/>
    <w:rsid w:val="008D4F44"/>
    <w:rsid w:val="008D5656"/>
    <w:rsid w:val="008D6B94"/>
    <w:rsid w:val="008D7144"/>
    <w:rsid w:val="008E0BDC"/>
    <w:rsid w:val="008E1320"/>
    <w:rsid w:val="008E3EE9"/>
    <w:rsid w:val="008E4DF8"/>
    <w:rsid w:val="008E7122"/>
    <w:rsid w:val="008F068D"/>
    <w:rsid w:val="008F0727"/>
    <w:rsid w:val="008F1C79"/>
    <w:rsid w:val="008F3788"/>
    <w:rsid w:val="008F3829"/>
    <w:rsid w:val="008F428C"/>
    <w:rsid w:val="008F42CA"/>
    <w:rsid w:val="008F4D7B"/>
    <w:rsid w:val="00901466"/>
    <w:rsid w:val="009033F4"/>
    <w:rsid w:val="00905C9A"/>
    <w:rsid w:val="009074DF"/>
    <w:rsid w:val="00907C9F"/>
    <w:rsid w:val="00910908"/>
    <w:rsid w:val="00910989"/>
    <w:rsid w:val="009123EF"/>
    <w:rsid w:val="00912466"/>
    <w:rsid w:val="0091459D"/>
    <w:rsid w:val="009158C0"/>
    <w:rsid w:val="009162C0"/>
    <w:rsid w:val="009172C4"/>
    <w:rsid w:val="009178C3"/>
    <w:rsid w:val="00924031"/>
    <w:rsid w:val="009241AF"/>
    <w:rsid w:val="009270A4"/>
    <w:rsid w:val="00930726"/>
    <w:rsid w:val="009309A8"/>
    <w:rsid w:val="00931629"/>
    <w:rsid w:val="009322CE"/>
    <w:rsid w:val="0093454E"/>
    <w:rsid w:val="0093659B"/>
    <w:rsid w:val="00940257"/>
    <w:rsid w:val="00940592"/>
    <w:rsid w:val="00945E45"/>
    <w:rsid w:val="00946FB9"/>
    <w:rsid w:val="009519B5"/>
    <w:rsid w:val="0095465C"/>
    <w:rsid w:val="00954A72"/>
    <w:rsid w:val="00960D01"/>
    <w:rsid w:val="009613C3"/>
    <w:rsid w:val="0096209C"/>
    <w:rsid w:val="00963E3D"/>
    <w:rsid w:val="00967729"/>
    <w:rsid w:val="00972C76"/>
    <w:rsid w:val="00973041"/>
    <w:rsid w:val="009749FC"/>
    <w:rsid w:val="009758C0"/>
    <w:rsid w:val="0097718F"/>
    <w:rsid w:val="009777A1"/>
    <w:rsid w:val="00977FDE"/>
    <w:rsid w:val="00980515"/>
    <w:rsid w:val="0098121C"/>
    <w:rsid w:val="0098245A"/>
    <w:rsid w:val="00982BD5"/>
    <w:rsid w:val="009842FA"/>
    <w:rsid w:val="00985499"/>
    <w:rsid w:val="00985676"/>
    <w:rsid w:val="00985B4A"/>
    <w:rsid w:val="00985BEF"/>
    <w:rsid w:val="0098676D"/>
    <w:rsid w:val="009935FF"/>
    <w:rsid w:val="0099367A"/>
    <w:rsid w:val="00994B6C"/>
    <w:rsid w:val="0099529E"/>
    <w:rsid w:val="009954BC"/>
    <w:rsid w:val="00995851"/>
    <w:rsid w:val="00996CBE"/>
    <w:rsid w:val="00996F39"/>
    <w:rsid w:val="009A0016"/>
    <w:rsid w:val="009A003A"/>
    <w:rsid w:val="009A080D"/>
    <w:rsid w:val="009A0969"/>
    <w:rsid w:val="009A1472"/>
    <w:rsid w:val="009A1F14"/>
    <w:rsid w:val="009A1FE5"/>
    <w:rsid w:val="009A44FA"/>
    <w:rsid w:val="009A5ADF"/>
    <w:rsid w:val="009A5F90"/>
    <w:rsid w:val="009A7BE7"/>
    <w:rsid w:val="009B2011"/>
    <w:rsid w:val="009B2A42"/>
    <w:rsid w:val="009B37D5"/>
    <w:rsid w:val="009B5025"/>
    <w:rsid w:val="009B6077"/>
    <w:rsid w:val="009B6409"/>
    <w:rsid w:val="009B6864"/>
    <w:rsid w:val="009B773C"/>
    <w:rsid w:val="009C038D"/>
    <w:rsid w:val="009C0532"/>
    <w:rsid w:val="009C153F"/>
    <w:rsid w:val="009C1A5D"/>
    <w:rsid w:val="009C22F9"/>
    <w:rsid w:val="009C34EC"/>
    <w:rsid w:val="009C558A"/>
    <w:rsid w:val="009C5A15"/>
    <w:rsid w:val="009C74A8"/>
    <w:rsid w:val="009C7D66"/>
    <w:rsid w:val="009D0CB6"/>
    <w:rsid w:val="009D0D56"/>
    <w:rsid w:val="009D172F"/>
    <w:rsid w:val="009D2052"/>
    <w:rsid w:val="009D3E50"/>
    <w:rsid w:val="009D469F"/>
    <w:rsid w:val="009D4EA3"/>
    <w:rsid w:val="009E03AF"/>
    <w:rsid w:val="009E05F5"/>
    <w:rsid w:val="009E1DA9"/>
    <w:rsid w:val="009E31C1"/>
    <w:rsid w:val="009E3439"/>
    <w:rsid w:val="009E3457"/>
    <w:rsid w:val="009E3FFE"/>
    <w:rsid w:val="009E5C67"/>
    <w:rsid w:val="009E70F1"/>
    <w:rsid w:val="009E7FA2"/>
    <w:rsid w:val="009F2A4A"/>
    <w:rsid w:val="009F3F10"/>
    <w:rsid w:val="009F42A4"/>
    <w:rsid w:val="009F4BED"/>
    <w:rsid w:val="009F7651"/>
    <w:rsid w:val="009F773A"/>
    <w:rsid w:val="009F78CB"/>
    <w:rsid w:val="009F7EA9"/>
    <w:rsid w:val="00A019A5"/>
    <w:rsid w:val="00A03755"/>
    <w:rsid w:val="00A0387F"/>
    <w:rsid w:val="00A0470D"/>
    <w:rsid w:val="00A071C1"/>
    <w:rsid w:val="00A11182"/>
    <w:rsid w:val="00A11805"/>
    <w:rsid w:val="00A11B4A"/>
    <w:rsid w:val="00A12A2C"/>
    <w:rsid w:val="00A13A69"/>
    <w:rsid w:val="00A167A1"/>
    <w:rsid w:val="00A20226"/>
    <w:rsid w:val="00A20A21"/>
    <w:rsid w:val="00A20C61"/>
    <w:rsid w:val="00A211BE"/>
    <w:rsid w:val="00A211D5"/>
    <w:rsid w:val="00A247AB"/>
    <w:rsid w:val="00A25C90"/>
    <w:rsid w:val="00A27C4C"/>
    <w:rsid w:val="00A30076"/>
    <w:rsid w:val="00A306F1"/>
    <w:rsid w:val="00A317FD"/>
    <w:rsid w:val="00A32F0C"/>
    <w:rsid w:val="00A34108"/>
    <w:rsid w:val="00A34B19"/>
    <w:rsid w:val="00A36DD1"/>
    <w:rsid w:val="00A36F1A"/>
    <w:rsid w:val="00A36FDD"/>
    <w:rsid w:val="00A37BC3"/>
    <w:rsid w:val="00A40047"/>
    <w:rsid w:val="00A41BF7"/>
    <w:rsid w:val="00A4274A"/>
    <w:rsid w:val="00A42C24"/>
    <w:rsid w:val="00A42E19"/>
    <w:rsid w:val="00A4435F"/>
    <w:rsid w:val="00A4603F"/>
    <w:rsid w:val="00A50F36"/>
    <w:rsid w:val="00A53EF2"/>
    <w:rsid w:val="00A5448B"/>
    <w:rsid w:val="00A54F3F"/>
    <w:rsid w:val="00A56586"/>
    <w:rsid w:val="00A56D0C"/>
    <w:rsid w:val="00A605F0"/>
    <w:rsid w:val="00A61796"/>
    <w:rsid w:val="00A637D3"/>
    <w:rsid w:val="00A64DC2"/>
    <w:rsid w:val="00A66125"/>
    <w:rsid w:val="00A66E93"/>
    <w:rsid w:val="00A7019E"/>
    <w:rsid w:val="00A701A2"/>
    <w:rsid w:val="00A702F7"/>
    <w:rsid w:val="00A70DC2"/>
    <w:rsid w:val="00A72D8D"/>
    <w:rsid w:val="00A737ED"/>
    <w:rsid w:val="00A7509F"/>
    <w:rsid w:val="00A7573F"/>
    <w:rsid w:val="00A75D88"/>
    <w:rsid w:val="00A75FED"/>
    <w:rsid w:val="00A80AF9"/>
    <w:rsid w:val="00A81D61"/>
    <w:rsid w:val="00A8300C"/>
    <w:rsid w:val="00A843D2"/>
    <w:rsid w:val="00A846B9"/>
    <w:rsid w:val="00A86E12"/>
    <w:rsid w:val="00A87CDC"/>
    <w:rsid w:val="00A923FD"/>
    <w:rsid w:val="00A92890"/>
    <w:rsid w:val="00A93069"/>
    <w:rsid w:val="00A93317"/>
    <w:rsid w:val="00A9379D"/>
    <w:rsid w:val="00A93833"/>
    <w:rsid w:val="00A954BF"/>
    <w:rsid w:val="00A962F9"/>
    <w:rsid w:val="00A967F7"/>
    <w:rsid w:val="00A96A17"/>
    <w:rsid w:val="00A9723B"/>
    <w:rsid w:val="00AA072A"/>
    <w:rsid w:val="00AA0852"/>
    <w:rsid w:val="00AA0CE5"/>
    <w:rsid w:val="00AA5659"/>
    <w:rsid w:val="00AA566D"/>
    <w:rsid w:val="00AA594A"/>
    <w:rsid w:val="00AA5A99"/>
    <w:rsid w:val="00AA5CEC"/>
    <w:rsid w:val="00AA7039"/>
    <w:rsid w:val="00AB0AF1"/>
    <w:rsid w:val="00AB4459"/>
    <w:rsid w:val="00AB4A08"/>
    <w:rsid w:val="00AB4DDF"/>
    <w:rsid w:val="00AB5FAD"/>
    <w:rsid w:val="00AC06AA"/>
    <w:rsid w:val="00AC0BB0"/>
    <w:rsid w:val="00AC1947"/>
    <w:rsid w:val="00AC1A1B"/>
    <w:rsid w:val="00AC1E7C"/>
    <w:rsid w:val="00AC1FED"/>
    <w:rsid w:val="00AC20E8"/>
    <w:rsid w:val="00AC2AAE"/>
    <w:rsid w:val="00AC4C81"/>
    <w:rsid w:val="00AC792A"/>
    <w:rsid w:val="00AC7D37"/>
    <w:rsid w:val="00AD1D72"/>
    <w:rsid w:val="00AD284A"/>
    <w:rsid w:val="00AD30E4"/>
    <w:rsid w:val="00AD4540"/>
    <w:rsid w:val="00AD57A0"/>
    <w:rsid w:val="00AD785B"/>
    <w:rsid w:val="00AD7C49"/>
    <w:rsid w:val="00AE020F"/>
    <w:rsid w:val="00AE1BF8"/>
    <w:rsid w:val="00AE2D63"/>
    <w:rsid w:val="00AE2FCA"/>
    <w:rsid w:val="00AE32B5"/>
    <w:rsid w:val="00AE3E26"/>
    <w:rsid w:val="00AE54D6"/>
    <w:rsid w:val="00AE6557"/>
    <w:rsid w:val="00AF021E"/>
    <w:rsid w:val="00AF0682"/>
    <w:rsid w:val="00AF0E5A"/>
    <w:rsid w:val="00AF196C"/>
    <w:rsid w:val="00AF338E"/>
    <w:rsid w:val="00AF3B85"/>
    <w:rsid w:val="00AF3CFC"/>
    <w:rsid w:val="00AF3F06"/>
    <w:rsid w:val="00B00154"/>
    <w:rsid w:val="00B00AD4"/>
    <w:rsid w:val="00B00B89"/>
    <w:rsid w:val="00B00F94"/>
    <w:rsid w:val="00B01B9E"/>
    <w:rsid w:val="00B03807"/>
    <w:rsid w:val="00B064CD"/>
    <w:rsid w:val="00B0724B"/>
    <w:rsid w:val="00B0757D"/>
    <w:rsid w:val="00B07F0B"/>
    <w:rsid w:val="00B13B4C"/>
    <w:rsid w:val="00B166E5"/>
    <w:rsid w:val="00B1758A"/>
    <w:rsid w:val="00B2100D"/>
    <w:rsid w:val="00B22375"/>
    <w:rsid w:val="00B25C74"/>
    <w:rsid w:val="00B266EF"/>
    <w:rsid w:val="00B26FA9"/>
    <w:rsid w:val="00B30199"/>
    <w:rsid w:val="00B314DC"/>
    <w:rsid w:val="00B31550"/>
    <w:rsid w:val="00B329C3"/>
    <w:rsid w:val="00B332A3"/>
    <w:rsid w:val="00B341E6"/>
    <w:rsid w:val="00B3723C"/>
    <w:rsid w:val="00B42074"/>
    <w:rsid w:val="00B43B73"/>
    <w:rsid w:val="00B44015"/>
    <w:rsid w:val="00B44221"/>
    <w:rsid w:val="00B44CFE"/>
    <w:rsid w:val="00B46A68"/>
    <w:rsid w:val="00B4721A"/>
    <w:rsid w:val="00B5176F"/>
    <w:rsid w:val="00B51C48"/>
    <w:rsid w:val="00B53FB3"/>
    <w:rsid w:val="00B5420A"/>
    <w:rsid w:val="00B545CA"/>
    <w:rsid w:val="00B5636D"/>
    <w:rsid w:val="00B60453"/>
    <w:rsid w:val="00B6228A"/>
    <w:rsid w:val="00B629E5"/>
    <w:rsid w:val="00B6367A"/>
    <w:rsid w:val="00B63DB8"/>
    <w:rsid w:val="00B67B6F"/>
    <w:rsid w:val="00B70111"/>
    <w:rsid w:val="00B70190"/>
    <w:rsid w:val="00B71811"/>
    <w:rsid w:val="00B71D32"/>
    <w:rsid w:val="00B728CE"/>
    <w:rsid w:val="00B77951"/>
    <w:rsid w:val="00B8159A"/>
    <w:rsid w:val="00B83402"/>
    <w:rsid w:val="00B836E9"/>
    <w:rsid w:val="00B87B32"/>
    <w:rsid w:val="00B91EC8"/>
    <w:rsid w:val="00B9220A"/>
    <w:rsid w:val="00B92EA9"/>
    <w:rsid w:val="00B94262"/>
    <w:rsid w:val="00B97A26"/>
    <w:rsid w:val="00B97C52"/>
    <w:rsid w:val="00BA0BFF"/>
    <w:rsid w:val="00BA0F3D"/>
    <w:rsid w:val="00BA3BB5"/>
    <w:rsid w:val="00BA3C61"/>
    <w:rsid w:val="00BA3EE7"/>
    <w:rsid w:val="00BA4579"/>
    <w:rsid w:val="00BB1B7D"/>
    <w:rsid w:val="00BB1CC5"/>
    <w:rsid w:val="00BB1DB9"/>
    <w:rsid w:val="00BB20ED"/>
    <w:rsid w:val="00BB3C59"/>
    <w:rsid w:val="00BB3FB4"/>
    <w:rsid w:val="00BB68D3"/>
    <w:rsid w:val="00BB7AAE"/>
    <w:rsid w:val="00BC0398"/>
    <w:rsid w:val="00BC465F"/>
    <w:rsid w:val="00BC4C84"/>
    <w:rsid w:val="00BC4F19"/>
    <w:rsid w:val="00BC50A8"/>
    <w:rsid w:val="00BC511B"/>
    <w:rsid w:val="00BC59A3"/>
    <w:rsid w:val="00BC7AAF"/>
    <w:rsid w:val="00BD08C9"/>
    <w:rsid w:val="00BD1514"/>
    <w:rsid w:val="00BD2606"/>
    <w:rsid w:val="00BD2AB6"/>
    <w:rsid w:val="00BD38D5"/>
    <w:rsid w:val="00BD5721"/>
    <w:rsid w:val="00BD616B"/>
    <w:rsid w:val="00BD7563"/>
    <w:rsid w:val="00BD76B1"/>
    <w:rsid w:val="00BE13C0"/>
    <w:rsid w:val="00BE1848"/>
    <w:rsid w:val="00BE1E7A"/>
    <w:rsid w:val="00BE236A"/>
    <w:rsid w:val="00BE2710"/>
    <w:rsid w:val="00BE4BA7"/>
    <w:rsid w:val="00BE4F9F"/>
    <w:rsid w:val="00BE5D89"/>
    <w:rsid w:val="00BE5F4D"/>
    <w:rsid w:val="00BE6816"/>
    <w:rsid w:val="00BE68AD"/>
    <w:rsid w:val="00BF26E3"/>
    <w:rsid w:val="00BF5CFB"/>
    <w:rsid w:val="00BF6695"/>
    <w:rsid w:val="00BF73D8"/>
    <w:rsid w:val="00C006AC"/>
    <w:rsid w:val="00C00ACD"/>
    <w:rsid w:val="00C01363"/>
    <w:rsid w:val="00C014A3"/>
    <w:rsid w:val="00C04FDB"/>
    <w:rsid w:val="00C05CEA"/>
    <w:rsid w:val="00C066DB"/>
    <w:rsid w:val="00C06757"/>
    <w:rsid w:val="00C10325"/>
    <w:rsid w:val="00C11752"/>
    <w:rsid w:val="00C12291"/>
    <w:rsid w:val="00C1313C"/>
    <w:rsid w:val="00C148D5"/>
    <w:rsid w:val="00C1675E"/>
    <w:rsid w:val="00C16EDF"/>
    <w:rsid w:val="00C16F0B"/>
    <w:rsid w:val="00C177FB"/>
    <w:rsid w:val="00C2310F"/>
    <w:rsid w:val="00C23757"/>
    <w:rsid w:val="00C2434B"/>
    <w:rsid w:val="00C31559"/>
    <w:rsid w:val="00C33C64"/>
    <w:rsid w:val="00C33D7E"/>
    <w:rsid w:val="00C34F7F"/>
    <w:rsid w:val="00C357D0"/>
    <w:rsid w:val="00C43FF7"/>
    <w:rsid w:val="00C4557C"/>
    <w:rsid w:val="00C45D4F"/>
    <w:rsid w:val="00C45E17"/>
    <w:rsid w:val="00C46D71"/>
    <w:rsid w:val="00C509E0"/>
    <w:rsid w:val="00C51025"/>
    <w:rsid w:val="00C515A1"/>
    <w:rsid w:val="00C527E3"/>
    <w:rsid w:val="00C53AAC"/>
    <w:rsid w:val="00C53BD3"/>
    <w:rsid w:val="00C55635"/>
    <w:rsid w:val="00C561EE"/>
    <w:rsid w:val="00C56C5F"/>
    <w:rsid w:val="00C57593"/>
    <w:rsid w:val="00C60EAD"/>
    <w:rsid w:val="00C63DFE"/>
    <w:rsid w:val="00C64196"/>
    <w:rsid w:val="00C65E9D"/>
    <w:rsid w:val="00C66975"/>
    <w:rsid w:val="00C66B57"/>
    <w:rsid w:val="00C67426"/>
    <w:rsid w:val="00C67699"/>
    <w:rsid w:val="00C70553"/>
    <w:rsid w:val="00C71267"/>
    <w:rsid w:val="00C7222A"/>
    <w:rsid w:val="00C725AC"/>
    <w:rsid w:val="00C7382A"/>
    <w:rsid w:val="00C738D8"/>
    <w:rsid w:val="00C75BB5"/>
    <w:rsid w:val="00C80C7D"/>
    <w:rsid w:val="00C81987"/>
    <w:rsid w:val="00C81EBC"/>
    <w:rsid w:val="00C81F5A"/>
    <w:rsid w:val="00C826FD"/>
    <w:rsid w:val="00C82926"/>
    <w:rsid w:val="00C82BE8"/>
    <w:rsid w:val="00C8409B"/>
    <w:rsid w:val="00C85BCD"/>
    <w:rsid w:val="00C916C0"/>
    <w:rsid w:val="00C91777"/>
    <w:rsid w:val="00C91D4E"/>
    <w:rsid w:val="00C91D60"/>
    <w:rsid w:val="00C93610"/>
    <w:rsid w:val="00C93811"/>
    <w:rsid w:val="00C95A08"/>
    <w:rsid w:val="00C96238"/>
    <w:rsid w:val="00C967E3"/>
    <w:rsid w:val="00C97FD0"/>
    <w:rsid w:val="00CA2CF8"/>
    <w:rsid w:val="00CA331B"/>
    <w:rsid w:val="00CA3EC4"/>
    <w:rsid w:val="00CA3FCE"/>
    <w:rsid w:val="00CA4B1F"/>
    <w:rsid w:val="00CA4BB8"/>
    <w:rsid w:val="00CA5878"/>
    <w:rsid w:val="00CA5BFC"/>
    <w:rsid w:val="00CA70EE"/>
    <w:rsid w:val="00CB00B6"/>
    <w:rsid w:val="00CB0303"/>
    <w:rsid w:val="00CB07DC"/>
    <w:rsid w:val="00CB4037"/>
    <w:rsid w:val="00CB4A3C"/>
    <w:rsid w:val="00CB5A5A"/>
    <w:rsid w:val="00CB643E"/>
    <w:rsid w:val="00CB6665"/>
    <w:rsid w:val="00CB7052"/>
    <w:rsid w:val="00CB7FF6"/>
    <w:rsid w:val="00CC024A"/>
    <w:rsid w:val="00CC0493"/>
    <w:rsid w:val="00CC10B8"/>
    <w:rsid w:val="00CC2726"/>
    <w:rsid w:val="00CC2DD2"/>
    <w:rsid w:val="00CC3AFE"/>
    <w:rsid w:val="00CC530F"/>
    <w:rsid w:val="00CC54A0"/>
    <w:rsid w:val="00CD144D"/>
    <w:rsid w:val="00CD14C9"/>
    <w:rsid w:val="00CD2784"/>
    <w:rsid w:val="00CD6D2A"/>
    <w:rsid w:val="00CD6D32"/>
    <w:rsid w:val="00CD6F20"/>
    <w:rsid w:val="00CE0B7E"/>
    <w:rsid w:val="00CE24D6"/>
    <w:rsid w:val="00CE2F69"/>
    <w:rsid w:val="00CE343E"/>
    <w:rsid w:val="00CE7452"/>
    <w:rsid w:val="00CE77A6"/>
    <w:rsid w:val="00CF1A3F"/>
    <w:rsid w:val="00CF209D"/>
    <w:rsid w:val="00CF26BD"/>
    <w:rsid w:val="00CF2AA2"/>
    <w:rsid w:val="00CF2BB0"/>
    <w:rsid w:val="00CF2DD7"/>
    <w:rsid w:val="00CF4358"/>
    <w:rsid w:val="00CF606C"/>
    <w:rsid w:val="00CF6A0F"/>
    <w:rsid w:val="00CF7389"/>
    <w:rsid w:val="00D000D4"/>
    <w:rsid w:val="00D002AE"/>
    <w:rsid w:val="00D00439"/>
    <w:rsid w:val="00D019F6"/>
    <w:rsid w:val="00D0226E"/>
    <w:rsid w:val="00D0581C"/>
    <w:rsid w:val="00D06C0D"/>
    <w:rsid w:val="00D07B71"/>
    <w:rsid w:val="00D125F7"/>
    <w:rsid w:val="00D13366"/>
    <w:rsid w:val="00D22059"/>
    <w:rsid w:val="00D2257C"/>
    <w:rsid w:val="00D22A67"/>
    <w:rsid w:val="00D22B04"/>
    <w:rsid w:val="00D2410C"/>
    <w:rsid w:val="00D24E96"/>
    <w:rsid w:val="00D26051"/>
    <w:rsid w:val="00D26F94"/>
    <w:rsid w:val="00D2755E"/>
    <w:rsid w:val="00D31086"/>
    <w:rsid w:val="00D33D97"/>
    <w:rsid w:val="00D35D10"/>
    <w:rsid w:val="00D376A7"/>
    <w:rsid w:val="00D419F2"/>
    <w:rsid w:val="00D41D46"/>
    <w:rsid w:val="00D45492"/>
    <w:rsid w:val="00D4711C"/>
    <w:rsid w:val="00D50CD3"/>
    <w:rsid w:val="00D50D1E"/>
    <w:rsid w:val="00D5142C"/>
    <w:rsid w:val="00D51BC0"/>
    <w:rsid w:val="00D524B7"/>
    <w:rsid w:val="00D5311F"/>
    <w:rsid w:val="00D56BAA"/>
    <w:rsid w:val="00D57EC6"/>
    <w:rsid w:val="00D62706"/>
    <w:rsid w:val="00D63DDB"/>
    <w:rsid w:val="00D64813"/>
    <w:rsid w:val="00D658A5"/>
    <w:rsid w:val="00D66188"/>
    <w:rsid w:val="00D66A31"/>
    <w:rsid w:val="00D671F3"/>
    <w:rsid w:val="00D679DC"/>
    <w:rsid w:val="00D70E60"/>
    <w:rsid w:val="00D714B9"/>
    <w:rsid w:val="00D72E62"/>
    <w:rsid w:val="00D738F4"/>
    <w:rsid w:val="00D750C4"/>
    <w:rsid w:val="00D77295"/>
    <w:rsid w:val="00D81592"/>
    <w:rsid w:val="00D833BB"/>
    <w:rsid w:val="00D833CD"/>
    <w:rsid w:val="00D853D3"/>
    <w:rsid w:val="00D8575F"/>
    <w:rsid w:val="00D861C5"/>
    <w:rsid w:val="00D87392"/>
    <w:rsid w:val="00D87A94"/>
    <w:rsid w:val="00D9119A"/>
    <w:rsid w:val="00D926B1"/>
    <w:rsid w:val="00D95542"/>
    <w:rsid w:val="00D95CAD"/>
    <w:rsid w:val="00DA0372"/>
    <w:rsid w:val="00DA0730"/>
    <w:rsid w:val="00DA17C3"/>
    <w:rsid w:val="00DA1A1B"/>
    <w:rsid w:val="00DA1E63"/>
    <w:rsid w:val="00DA572C"/>
    <w:rsid w:val="00DA614A"/>
    <w:rsid w:val="00DA64F5"/>
    <w:rsid w:val="00DA7F43"/>
    <w:rsid w:val="00DB056F"/>
    <w:rsid w:val="00DB0EB0"/>
    <w:rsid w:val="00DB2814"/>
    <w:rsid w:val="00DB4453"/>
    <w:rsid w:val="00DB49AA"/>
    <w:rsid w:val="00DB5A7B"/>
    <w:rsid w:val="00DB6B7A"/>
    <w:rsid w:val="00DB7743"/>
    <w:rsid w:val="00DC0641"/>
    <w:rsid w:val="00DC5AD2"/>
    <w:rsid w:val="00DC6240"/>
    <w:rsid w:val="00DC6621"/>
    <w:rsid w:val="00DC66FE"/>
    <w:rsid w:val="00DD1050"/>
    <w:rsid w:val="00DD2711"/>
    <w:rsid w:val="00DD45DA"/>
    <w:rsid w:val="00DD60A4"/>
    <w:rsid w:val="00DE17A9"/>
    <w:rsid w:val="00DE2981"/>
    <w:rsid w:val="00DE306F"/>
    <w:rsid w:val="00DE3503"/>
    <w:rsid w:val="00DE4790"/>
    <w:rsid w:val="00DE4919"/>
    <w:rsid w:val="00DF1442"/>
    <w:rsid w:val="00DF3458"/>
    <w:rsid w:val="00DF608B"/>
    <w:rsid w:val="00DF6D82"/>
    <w:rsid w:val="00DF78A3"/>
    <w:rsid w:val="00E01759"/>
    <w:rsid w:val="00E027BC"/>
    <w:rsid w:val="00E030C2"/>
    <w:rsid w:val="00E04D61"/>
    <w:rsid w:val="00E059BC"/>
    <w:rsid w:val="00E10B60"/>
    <w:rsid w:val="00E10FCF"/>
    <w:rsid w:val="00E131B7"/>
    <w:rsid w:val="00E154A1"/>
    <w:rsid w:val="00E15C90"/>
    <w:rsid w:val="00E16495"/>
    <w:rsid w:val="00E17923"/>
    <w:rsid w:val="00E17C53"/>
    <w:rsid w:val="00E22A58"/>
    <w:rsid w:val="00E23EFE"/>
    <w:rsid w:val="00E26C73"/>
    <w:rsid w:val="00E30E5C"/>
    <w:rsid w:val="00E3261D"/>
    <w:rsid w:val="00E32C24"/>
    <w:rsid w:val="00E32DCF"/>
    <w:rsid w:val="00E338FC"/>
    <w:rsid w:val="00E35876"/>
    <w:rsid w:val="00E360FA"/>
    <w:rsid w:val="00E36328"/>
    <w:rsid w:val="00E36403"/>
    <w:rsid w:val="00E36DAB"/>
    <w:rsid w:val="00E37E81"/>
    <w:rsid w:val="00E40082"/>
    <w:rsid w:val="00E412B7"/>
    <w:rsid w:val="00E41901"/>
    <w:rsid w:val="00E41D9A"/>
    <w:rsid w:val="00E4438D"/>
    <w:rsid w:val="00E45A46"/>
    <w:rsid w:val="00E469F0"/>
    <w:rsid w:val="00E50E3A"/>
    <w:rsid w:val="00E5104A"/>
    <w:rsid w:val="00E532CB"/>
    <w:rsid w:val="00E54B5A"/>
    <w:rsid w:val="00E54B5E"/>
    <w:rsid w:val="00E55A5F"/>
    <w:rsid w:val="00E56D4C"/>
    <w:rsid w:val="00E601F3"/>
    <w:rsid w:val="00E607E9"/>
    <w:rsid w:val="00E6243F"/>
    <w:rsid w:val="00E63F3C"/>
    <w:rsid w:val="00E656FD"/>
    <w:rsid w:val="00E774C1"/>
    <w:rsid w:val="00E8096B"/>
    <w:rsid w:val="00E843A6"/>
    <w:rsid w:val="00E85235"/>
    <w:rsid w:val="00E8607C"/>
    <w:rsid w:val="00E868AD"/>
    <w:rsid w:val="00E91959"/>
    <w:rsid w:val="00E9437E"/>
    <w:rsid w:val="00E94BAD"/>
    <w:rsid w:val="00E94E5B"/>
    <w:rsid w:val="00E95412"/>
    <w:rsid w:val="00E9556E"/>
    <w:rsid w:val="00E95FFF"/>
    <w:rsid w:val="00E96339"/>
    <w:rsid w:val="00EA0D45"/>
    <w:rsid w:val="00EA2309"/>
    <w:rsid w:val="00EA2D30"/>
    <w:rsid w:val="00EA37C6"/>
    <w:rsid w:val="00EA3DEE"/>
    <w:rsid w:val="00EA40C6"/>
    <w:rsid w:val="00EA46FE"/>
    <w:rsid w:val="00EA4C31"/>
    <w:rsid w:val="00EA514A"/>
    <w:rsid w:val="00EB151D"/>
    <w:rsid w:val="00EB2267"/>
    <w:rsid w:val="00EB30E2"/>
    <w:rsid w:val="00EB32B9"/>
    <w:rsid w:val="00EB3313"/>
    <w:rsid w:val="00EB3C4E"/>
    <w:rsid w:val="00EB481C"/>
    <w:rsid w:val="00EB48E4"/>
    <w:rsid w:val="00EB5EE5"/>
    <w:rsid w:val="00EB675C"/>
    <w:rsid w:val="00EB7C0A"/>
    <w:rsid w:val="00EC31A2"/>
    <w:rsid w:val="00EC36AF"/>
    <w:rsid w:val="00EC4E80"/>
    <w:rsid w:val="00EC70AD"/>
    <w:rsid w:val="00EC7359"/>
    <w:rsid w:val="00ED032D"/>
    <w:rsid w:val="00ED39CD"/>
    <w:rsid w:val="00ED3B7B"/>
    <w:rsid w:val="00ED78DB"/>
    <w:rsid w:val="00EE0866"/>
    <w:rsid w:val="00EE0E56"/>
    <w:rsid w:val="00EE17D9"/>
    <w:rsid w:val="00EE33DB"/>
    <w:rsid w:val="00EE3495"/>
    <w:rsid w:val="00EE3A7B"/>
    <w:rsid w:val="00EE5347"/>
    <w:rsid w:val="00EE6066"/>
    <w:rsid w:val="00EE7E64"/>
    <w:rsid w:val="00EF12BE"/>
    <w:rsid w:val="00EF25E1"/>
    <w:rsid w:val="00EF3283"/>
    <w:rsid w:val="00EF46E6"/>
    <w:rsid w:val="00EF47B8"/>
    <w:rsid w:val="00EF6D3C"/>
    <w:rsid w:val="00EF6ECC"/>
    <w:rsid w:val="00EF765B"/>
    <w:rsid w:val="00EF78D6"/>
    <w:rsid w:val="00F000C4"/>
    <w:rsid w:val="00F00931"/>
    <w:rsid w:val="00F00B4C"/>
    <w:rsid w:val="00F020C2"/>
    <w:rsid w:val="00F0262E"/>
    <w:rsid w:val="00F042F7"/>
    <w:rsid w:val="00F0643C"/>
    <w:rsid w:val="00F07747"/>
    <w:rsid w:val="00F07BC8"/>
    <w:rsid w:val="00F10CE2"/>
    <w:rsid w:val="00F115A0"/>
    <w:rsid w:val="00F11CBD"/>
    <w:rsid w:val="00F12C9F"/>
    <w:rsid w:val="00F14EE8"/>
    <w:rsid w:val="00F156B0"/>
    <w:rsid w:val="00F1757D"/>
    <w:rsid w:val="00F17AE1"/>
    <w:rsid w:val="00F23C82"/>
    <w:rsid w:val="00F24A40"/>
    <w:rsid w:val="00F25027"/>
    <w:rsid w:val="00F2508A"/>
    <w:rsid w:val="00F250F6"/>
    <w:rsid w:val="00F25CD2"/>
    <w:rsid w:val="00F26121"/>
    <w:rsid w:val="00F27985"/>
    <w:rsid w:val="00F33A8E"/>
    <w:rsid w:val="00F33C24"/>
    <w:rsid w:val="00F37215"/>
    <w:rsid w:val="00F374A3"/>
    <w:rsid w:val="00F4052E"/>
    <w:rsid w:val="00F44EED"/>
    <w:rsid w:val="00F44FC5"/>
    <w:rsid w:val="00F45E21"/>
    <w:rsid w:val="00F475E7"/>
    <w:rsid w:val="00F47847"/>
    <w:rsid w:val="00F50467"/>
    <w:rsid w:val="00F51372"/>
    <w:rsid w:val="00F518D6"/>
    <w:rsid w:val="00F519DF"/>
    <w:rsid w:val="00F527ED"/>
    <w:rsid w:val="00F52BD2"/>
    <w:rsid w:val="00F52E41"/>
    <w:rsid w:val="00F534E9"/>
    <w:rsid w:val="00F55326"/>
    <w:rsid w:val="00F553A9"/>
    <w:rsid w:val="00F56C18"/>
    <w:rsid w:val="00F57A02"/>
    <w:rsid w:val="00F57E29"/>
    <w:rsid w:val="00F61602"/>
    <w:rsid w:val="00F61E68"/>
    <w:rsid w:val="00F624F8"/>
    <w:rsid w:val="00F650CA"/>
    <w:rsid w:val="00F6692A"/>
    <w:rsid w:val="00F66988"/>
    <w:rsid w:val="00F71A8B"/>
    <w:rsid w:val="00F71F38"/>
    <w:rsid w:val="00F72F78"/>
    <w:rsid w:val="00F75976"/>
    <w:rsid w:val="00F80692"/>
    <w:rsid w:val="00F8161C"/>
    <w:rsid w:val="00F82768"/>
    <w:rsid w:val="00F82EA3"/>
    <w:rsid w:val="00F83A0B"/>
    <w:rsid w:val="00F83B41"/>
    <w:rsid w:val="00F86ACE"/>
    <w:rsid w:val="00F871C3"/>
    <w:rsid w:val="00F90F8D"/>
    <w:rsid w:val="00F91E8F"/>
    <w:rsid w:val="00F92518"/>
    <w:rsid w:val="00F928BE"/>
    <w:rsid w:val="00F92C9C"/>
    <w:rsid w:val="00F93D29"/>
    <w:rsid w:val="00F944EF"/>
    <w:rsid w:val="00F94774"/>
    <w:rsid w:val="00F95DE5"/>
    <w:rsid w:val="00F970CA"/>
    <w:rsid w:val="00FA0E8F"/>
    <w:rsid w:val="00FA1202"/>
    <w:rsid w:val="00FA14AF"/>
    <w:rsid w:val="00FA6C07"/>
    <w:rsid w:val="00FA70A6"/>
    <w:rsid w:val="00FA77C4"/>
    <w:rsid w:val="00FB3D6C"/>
    <w:rsid w:val="00FB4425"/>
    <w:rsid w:val="00FB4893"/>
    <w:rsid w:val="00FB526A"/>
    <w:rsid w:val="00FB5E1A"/>
    <w:rsid w:val="00FB6695"/>
    <w:rsid w:val="00FB7816"/>
    <w:rsid w:val="00FC217B"/>
    <w:rsid w:val="00FC2502"/>
    <w:rsid w:val="00FC43B7"/>
    <w:rsid w:val="00FC5951"/>
    <w:rsid w:val="00FC6B85"/>
    <w:rsid w:val="00FC7215"/>
    <w:rsid w:val="00FC7334"/>
    <w:rsid w:val="00FD0895"/>
    <w:rsid w:val="00FD0AE9"/>
    <w:rsid w:val="00FD0BCE"/>
    <w:rsid w:val="00FD27ED"/>
    <w:rsid w:val="00FD2AA5"/>
    <w:rsid w:val="00FD4C38"/>
    <w:rsid w:val="00FD6093"/>
    <w:rsid w:val="00FE0315"/>
    <w:rsid w:val="00FE31A9"/>
    <w:rsid w:val="00FE33F7"/>
    <w:rsid w:val="00FE40F9"/>
    <w:rsid w:val="00FE4734"/>
    <w:rsid w:val="00FF01D3"/>
    <w:rsid w:val="00FF06A2"/>
    <w:rsid w:val="00FF0E52"/>
    <w:rsid w:val="00FF1DA7"/>
    <w:rsid w:val="00FF1E32"/>
    <w:rsid w:val="00FF235E"/>
    <w:rsid w:val="00FF39D0"/>
    <w:rsid w:val="00FF520E"/>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31A7C"/>
  <w15:docId w15:val="{ECA24936-4F72-4E01-8964-D77DA43D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D4323"/>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zh-CN"/>
    </w:rPr>
  </w:style>
  <w:style w:type="paragraph" w:styleId="Heading2">
    <w:name w:val="heading 2"/>
    <w:basedOn w:val="Normal"/>
    <w:link w:val="Heading2Char"/>
    <w:uiPriority w:val="9"/>
    <w:qFormat/>
    <w:rsid w:val="003163FC"/>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4D432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9AE"/>
    <w:pPr>
      <w:ind w:left="720"/>
      <w:contextualSpacing/>
    </w:pPr>
  </w:style>
  <w:style w:type="paragraph" w:styleId="FootnoteText">
    <w:name w:val="footnote text"/>
    <w:basedOn w:val="Normal"/>
    <w:link w:val="FootnoteTextChar"/>
    <w:uiPriority w:val="99"/>
    <w:unhideWhenUsed/>
    <w:rsid w:val="00A071C1"/>
  </w:style>
  <w:style w:type="character" w:customStyle="1" w:styleId="FootnoteTextChar">
    <w:name w:val="Footnote Text Char"/>
    <w:basedOn w:val="DefaultParagraphFont"/>
    <w:link w:val="FootnoteText"/>
    <w:uiPriority w:val="99"/>
    <w:rsid w:val="00A071C1"/>
  </w:style>
  <w:style w:type="character" w:styleId="FootnoteReference">
    <w:name w:val="footnote reference"/>
    <w:basedOn w:val="DefaultParagraphFont"/>
    <w:uiPriority w:val="99"/>
    <w:unhideWhenUsed/>
    <w:rsid w:val="00A071C1"/>
    <w:rPr>
      <w:vertAlign w:val="superscript"/>
    </w:rPr>
  </w:style>
  <w:style w:type="character" w:customStyle="1" w:styleId="Heading2Char">
    <w:name w:val="Heading 2 Char"/>
    <w:basedOn w:val="DefaultParagraphFont"/>
    <w:link w:val="Heading2"/>
    <w:uiPriority w:val="9"/>
    <w:rsid w:val="003163FC"/>
    <w:rPr>
      <w:rFonts w:ascii="Times" w:hAnsi="Times"/>
      <w:b/>
      <w:bCs/>
      <w:sz w:val="36"/>
      <w:szCs w:val="36"/>
    </w:rPr>
  </w:style>
  <w:style w:type="paragraph" w:styleId="BalloonText">
    <w:name w:val="Balloon Text"/>
    <w:basedOn w:val="Normal"/>
    <w:link w:val="BalloonTextChar"/>
    <w:uiPriority w:val="99"/>
    <w:semiHidden/>
    <w:unhideWhenUsed/>
    <w:rsid w:val="000E5C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5C16"/>
    <w:rPr>
      <w:rFonts w:ascii="Lucida Grande" w:hAnsi="Lucida Grande" w:cs="Lucida Grande"/>
      <w:sz w:val="18"/>
      <w:szCs w:val="18"/>
    </w:rPr>
  </w:style>
  <w:style w:type="character" w:styleId="CommentReference">
    <w:name w:val="annotation reference"/>
    <w:basedOn w:val="DefaultParagraphFont"/>
    <w:uiPriority w:val="99"/>
    <w:semiHidden/>
    <w:unhideWhenUsed/>
    <w:rsid w:val="0024682E"/>
    <w:rPr>
      <w:sz w:val="16"/>
      <w:szCs w:val="16"/>
    </w:rPr>
  </w:style>
  <w:style w:type="paragraph" w:styleId="CommentText">
    <w:name w:val="annotation text"/>
    <w:basedOn w:val="Normal"/>
    <w:link w:val="CommentTextChar"/>
    <w:uiPriority w:val="99"/>
    <w:unhideWhenUsed/>
    <w:qFormat/>
    <w:rsid w:val="0024682E"/>
    <w:rPr>
      <w:sz w:val="20"/>
      <w:szCs w:val="20"/>
    </w:rPr>
  </w:style>
  <w:style w:type="character" w:customStyle="1" w:styleId="CommentTextChar">
    <w:name w:val="Comment Text Char"/>
    <w:basedOn w:val="DefaultParagraphFont"/>
    <w:link w:val="CommentText"/>
    <w:uiPriority w:val="99"/>
    <w:rsid w:val="0024682E"/>
    <w:rPr>
      <w:sz w:val="20"/>
      <w:szCs w:val="20"/>
    </w:rPr>
  </w:style>
  <w:style w:type="paragraph" w:styleId="CommentSubject">
    <w:name w:val="annotation subject"/>
    <w:basedOn w:val="CommentText"/>
    <w:next w:val="CommentText"/>
    <w:link w:val="CommentSubjectChar"/>
    <w:uiPriority w:val="99"/>
    <w:semiHidden/>
    <w:unhideWhenUsed/>
    <w:rsid w:val="0024682E"/>
    <w:rPr>
      <w:b/>
      <w:bCs/>
    </w:rPr>
  </w:style>
  <w:style w:type="character" w:customStyle="1" w:styleId="CommentSubjectChar">
    <w:name w:val="Comment Subject Char"/>
    <w:basedOn w:val="CommentTextChar"/>
    <w:link w:val="CommentSubject"/>
    <w:uiPriority w:val="99"/>
    <w:semiHidden/>
    <w:rsid w:val="0024682E"/>
    <w:rPr>
      <w:b/>
      <w:bCs/>
      <w:sz w:val="20"/>
      <w:szCs w:val="20"/>
    </w:rPr>
  </w:style>
  <w:style w:type="character" w:styleId="PlaceholderText">
    <w:name w:val="Placeholder Text"/>
    <w:basedOn w:val="DefaultParagraphFont"/>
    <w:uiPriority w:val="99"/>
    <w:semiHidden/>
    <w:rsid w:val="0036604B"/>
    <w:rPr>
      <w:color w:val="808080"/>
    </w:rPr>
  </w:style>
  <w:style w:type="character" w:customStyle="1" w:styleId="Heading3Char">
    <w:name w:val="Heading 3 Char"/>
    <w:basedOn w:val="DefaultParagraphFont"/>
    <w:link w:val="Heading3"/>
    <w:uiPriority w:val="9"/>
    <w:semiHidden/>
    <w:rsid w:val="004D4323"/>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4D4323"/>
    <w:rPr>
      <w:rFonts w:asciiTheme="majorHAnsi" w:eastAsiaTheme="majorEastAsia" w:hAnsiTheme="majorHAnsi" w:cstheme="majorBidi"/>
      <w:color w:val="2F5496" w:themeColor="accent1" w:themeShade="BF"/>
      <w:sz w:val="32"/>
      <w:szCs w:val="32"/>
      <w:lang w:eastAsia="zh-CN"/>
    </w:rPr>
  </w:style>
  <w:style w:type="character" w:customStyle="1" w:styleId="standard-view-style">
    <w:name w:val="standard-view-style"/>
    <w:basedOn w:val="DefaultParagraphFont"/>
    <w:rsid w:val="004D4323"/>
  </w:style>
  <w:style w:type="character" w:styleId="Strong">
    <w:name w:val="Strong"/>
    <w:basedOn w:val="DefaultParagraphFont"/>
    <w:uiPriority w:val="22"/>
    <w:qFormat/>
    <w:rsid w:val="004D4323"/>
    <w:rPr>
      <w:b/>
      <w:bCs/>
    </w:rPr>
  </w:style>
  <w:style w:type="character" w:styleId="Emphasis">
    <w:name w:val="Emphasis"/>
    <w:basedOn w:val="DefaultParagraphFont"/>
    <w:uiPriority w:val="20"/>
    <w:qFormat/>
    <w:rsid w:val="004D4323"/>
    <w:rPr>
      <w:i/>
      <w:iCs/>
    </w:rPr>
  </w:style>
  <w:style w:type="character" w:styleId="HTMLCite">
    <w:name w:val="HTML Cite"/>
    <w:basedOn w:val="DefaultParagraphFont"/>
    <w:uiPriority w:val="99"/>
    <w:semiHidden/>
    <w:unhideWhenUsed/>
    <w:rsid w:val="004D4323"/>
    <w:rPr>
      <w:i/>
      <w:iCs/>
    </w:rPr>
  </w:style>
  <w:style w:type="character" w:customStyle="1" w:styleId="pub-meta-item">
    <w:name w:val="pub-meta-item"/>
    <w:basedOn w:val="DefaultParagraphFont"/>
    <w:rsid w:val="004D4323"/>
  </w:style>
  <w:style w:type="table" w:styleId="TableGrid">
    <w:name w:val="Table Grid"/>
    <w:basedOn w:val="TableNormal"/>
    <w:uiPriority w:val="59"/>
    <w:rsid w:val="000F18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7B32"/>
  </w:style>
  <w:style w:type="character" w:styleId="Hyperlink">
    <w:name w:val="Hyperlink"/>
    <w:basedOn w:val="DefaultParagraphFont"/>
    <w:uiPriority w:val="99"/>
    <w:unhideWhenUsed/>
    <w:rsid w:val="008C4B4C"/>
    <w:rPr>
      <w:color w:val="0000FF"/>
      <w:u w:val="single"/>
    </w:rPr>
  </w:style>
  <w:style w:type="paragraph" w:customStyle="1" w:styleId="Lastsavedby">
    <w:name w:val="Last saved by"/>
    <w:rsid w:val="000F550F"/>
    <w:rPr>
      <w:rFonts w:eastAsiaTheme="minorEastAsia"/>
      <w:lang w:val="en-ZA"/>
    </w:rPr>
  </w:style>
  <w:style w:type="character" w:customStyle="1" w:styleId="UnresolvedMention1">
    <w:name w:val="Unresolved Mention1"/>
    <w:basedOn w:val="DefaultParagraphFont"/>
    <w:uiPriority w:val="99"/>
    <w:semiHidden/>
    <w:unhideWhenUsed/>
    <w:rsid w:val="005F59F3"/>
    <w:rPr>
      <w:color w:val="605E5C"/>
      <w:shd w:val="clear" w:color="auto" w:fill="E1DFDD"/>
    </w:rPr>
  </w:style>
  <w:style w:type="character" w:styleId="FollowedHyperlink">
    <w:name w:val="FollowedHyperlink"/>
    <w:basedOn w:val="DefaultParagraphFont"/>
    <w:uiPriority w:val="99"/>
    <w:semiHidden/>
    <w:unhideWhenUsed/>
    <w:rsid w:val="006275FC"/>
    <w:rPr>
      <w:color w:val="954F72" w:themeColor="followedHyperlink"/>
      <w:u w:val="single"/>
    </w:rPr>
  </w:style>
  <w:style w:type="paragraph" w:styleId="Header">
    <w:name w:val="header"/>
    <w:basedOn w:val="Normal"/>
    <w:link w:val="HeaderChar"/>
    <w:uiPriority w:val="99"/>
    <w:unhideWhenUsed/>
    <w:rsid w:val="009F2A4A"/>
    <w:pPr>
      <w:tabs>
        <w:tab w:val="center" w:pos="4680"/>
        <w:tab w:val="right" w:pos="9360"/>
      </w:tabs>
    </w:pPr>
  </w:style>
  <w:style w:type="character" w:customStyle="1" w:styleId="HeaderChar">
    <w:name w:val="Header Char"/>
    <w:basedOn w:val="DefaultParagraphFont"/>
    <w:link w:val="Header"/>
    <w:uiPriority w:val="99"/>
    <w:rsid w:val="009F2A4A"/>
  </w:style>
  <w:style w:type="paragraph" w:styleId="Footer">
    <w:name w:val="footer"/>
    <w:basedOn w:val="Normal"/>
    <w:link w:val="FooterChar"/>
    <w:uiPriority w:val="99"/>
    <w:unhideWhenUsed/>
    <w:rsid w:val="009F2A4A"/>
    <w:pPr>
      <w:tabs>
        <w:tab w:val="center" w:pos="4680"/>
        <w:tab w:val="right" w:pos="9360"/>
      </w:tabs>
    </w:pPr>
  </w:style>
  <w:style w:type="character" w:customStyle="1" w:styleId="FooterChar">
    <w:name w:val="Footer Char"/>
    <w:basedOn w:val="DefaultParagraphFont"/>
    <w:link w:val="Footer"/>
    <w:uiPriority w:val="99"/>
    <w:rsid w:val="009F2A4A"/>
  </w:style>
  <w:style w:type="character" w:customStyle="1" w:styleId="UnresolvedMention2">
    <w:name w:val="Unresolved Mention2"/>
    <w:basedOn w:val="DefaultParagraphFont"/>
    <w:uiPriority w:val="99"/>
    <w:semiHidden/>
    <w:unhideWhenUsed/>
    <w:rsid w:val="00202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3335">
      <w:bodyDiv w:val="1"/>
      <w:marLeft w:val="0"/>
      <w:marRight w:val="0"/>
      <w:marTop w:val="0"/>
      <w:marBottom w:val="0"/>
      <w:divBdr>
        <w:top w:val="none" w:sz="0" w:space="0" w:color="auto"/>
        <w:left w:val="none" w:sz="0" w:space="0" w:color="auto"/>
        <w:bottom w:val="none" w:sz="0" w:space="0" w:color="auto"/>
        <w:right w:val="none" w:sz="0" w:space="0" w:color="auto"/>
      </w:divBdr>
    </w:div>
    <w:div w:id="238104616">
      <w:bodyDiv w:val="1"/>
      <w:marLeft w:val="0"/>
      <w:marRight w:val="0"/>
      <w:marTop w:val="0"/>
      <w:marBottom w:val="0"/>
      <w:divBdr>
        <w:top w:val="none" w:sz="0" w:space="0" w:color="auto"/>
        <w:left w:val="none" w:sz="0" w:space="0" w:color="auto"/>
        <w:bottom w:val="none" w:sz="0" w:space="0" w:color="auto"/>
        <w:right w:val="none" w:sz="0" w:space="0" w:color="auto"/>
      </w:divBdr>
    </w:div>
    <w:div w:id="246546743">
      <w:bodyDiv w:val="1"/>
      <w:marLeft w:val="0"/>
      <w:marRight w:val="0"/>
      <w:marTop w:val="0"/>
      <w:marBottom w:val="0"/>
      <w:divBdr>
        <w:top w:val="none" w:sz="0" w:space="0" w:color="auto"/>
        <w:left w:val="none" w:sz="0" w:space="0" w:color="auto"/>
        <w:bottom w:val="none" w:sz="0" w:space="0" w:color="auto"/>
        <w:right w:val="none" w:sz="0" w:space="0" w:color="auto"/>
      </w:divBdr>
    </w:div>
    <w:div w:id="306253096">
      <w:bodyDiv w:val="1"/>
      <w:marLeft w:val="0"/>
      <w:marRight w:val="0"/>
      <w:marTop w:val="0"/>
      <w:marBottom w:val="0"/>
      <w:divBdr>
        <w:top w:val="none" w:sz="0" w:space="0" w:color="auto"/>
        <w:left w:val="none" w:sz="0" w:space="0" w:color="auto"/>
        <w:bottom w:val="none" w:sz="0" w:space="0" w:color="auto"/>
        <w:right w:val="none" w:sz="0" w:space="0" w:color="auto"/>
      </w:divBdr>
    </w:div>
    <w:div w:id="321158310">
      <w:bodyDiv w:val="1"/>
      <w:marLeft w:val="0"/>
      <w:marRight w:val="0"/>
      <w:marTop w:val="0"/>
      <w:marBottom w:val="0"/>
      <w:divBdr>
        <w:top w:val="none" w:sz="0" w:space="0" w:color="auto"/>
        <w:left w:val="none" w:sz="0" w:space="0" w:color="auto"/>
        <w:bottom w:val="none" w:sz="0" w:space="0" w:color="auto"/>
        <w:right w:val="none" w:sz="0" w:space="0" w:color="auto"/>
      </w:divBdr>
    </w:div>
    <w:div w:id="326249035">
      <w:bodyDiv w:val="1"/>
      <w:marLeft w:val="0"/>
      <w:marRight w:val="0"/>
      <w:marTop w:val="0"/>
      <w:marBottom w:val="0"/>
      <w:divBdr>
        <w:top w:val="none" w:sz="0" w:space="0" w:color="auto"/>
        <w:left w:val="none" w:sz="0" w:space="0" w:color="auto"/>
        <w:bottom w:val="none" w:sz="0" w:space="0" w:color="auto"/>
        <w:right w:val="none" w:sz="0" w:space="0" w:color="auto"/>
      </w:divBdr>
    </w:div>
    <w:div w:id="330373896">
      <w:bodyDiv w:val="1"/>
      <w:marLeft w:val="0"/>
      <w:marRight w:val="0"/>
      <w:marTop w:val="0"/>
      <w:marBottom w:val="0"/>
      <w:divBdr>
        <w:top w:val="none" w:sz="0" w:space="0" w:color="auto"/>
        <w:left w:val="none" w:sz="0" w:space="0" w:color="auto"/>
        <w:bottom w:val="none" w:sz="0" w:space="0" w:color="auto"/>
        <w:right w:val="none" w:sz="0" w:space="0" w:color="auto"/>
      </w:divBdr>
    </w:div>
    <w:div w:id="359624504">
      <w:bodyDiv w:val="1"/>
      <w:marLeft w:val="0"/>
      <w:marRight w:val="0"/>
      <w:marTop w:val="0"/>
      <w:marBottom w:val="0"/>
      <w:divBdr>
        <w:top w:val="none" w:sz="0" w:space="0" w:color="auto"/>
        <w:left w:val="none" w:sz="0" w:space="0" w:color="auto"/>
        <w:bottom w:val="none" w:sz="0" w:space="0" w:color="auto"/>
        <w:right w:val="none" w:sz="0" w:space="0" w:color="auto"/>
      </w:divBdr>
    </w:div>
    <w:div w:id="429084102">
      <w:bodyDiv w:val="1"/>
      <w:marLeft w:val="0"/>
      <w:marRight w:val="0"/>
      <w:marTop w:val="0"/>
      <w:marBottom w:val="0"/>
      <w:divBdr>
        <w:top w:val="none" w:sz="0" w:space="0" w:color="auto"/>
        <w:left w:val="none" w:sz="0" w:space="0" w:color="auto"/>
        <w:bottom w:val="none" w:sz="0" w:space="0" w:color="auto"/>
        <w:right w:val="none" w:sz="0" w:space="0" w:color="auto"/>
      </w:divBdr>
    </w:div>
    <w:div w:id="438648906">
      <w:bodyDiv w:val="1"/>
      <w:marLeft w:val="0"/>
      <w:marRight w:val="0"/>
      <w:marTop w:val="0"/>
      <w:marBottom w:val="0"/>
      <w:divBdr>
        <w:top w:val="none" w:sz="0" w:space="0" w:color="auto"/>
        <w:left w:val="none" w:sz="0" w:space="0" w:color="auto"/>
        <w:bottom w:val="none" w:sz="0" w:space="0" w:color="auto"/>
        <w:right w:val="none" w:sz="0" w:space="0" w:color="auto"/>
      </w:divBdr>
    </w:div>
    <w:div w:id="448400100">
      <w:bodyDiv w:val="1"/>
      <w:marLeft w:val="0"/>
      <w:marRight w:val="0"/>
      <w:marTop w:val="0"/>
      <w:marBottom w:val="0"/>
      <w:divBdr>
        <w:top w:val="none" w:sz="0" w:space="0" w:color="auto"/>
        <w:left w:val="none" w:sz="0" w:space="0" w:color="auto"/>
        <w:bottom w:val="none" w:sz="0" w:space="0" w:color="auto"/>
        <w:right w:val="none" w:sz="0" w:space="0" w:color="auto"/>
      </w:divBdr>
    </w:div>
    <w:div w:id="452359869">
      <w:bodyDiv w:val="1"/>
      <w:marLeft w:val="0"/>
      <w:marRight w:val="0"/>
      <w:marTop w:val="0"/>
      <w:marBottom w:val="0"/>
      <w:divBdr>
        <w:top w:val="none" w:sz="0" w:space="0" w:color="auto"/>
        <w:left w:val="none" w:sz="0" w:space="0" w:color="auto"/>
        <w:bottom w:val="none" w:sz="0" w:space="0" w:color="auto"/>
        <w:right w:val="none" w:sz="0" w:space="0" w:color="auto"/>
      </w:divBdr>
    </w:div>
    <w:div w:id="529882694">
      <w:bodyDiv w:val="1"/>
      <w:marLeft w:val="0"/>
      <w:marRight w:val="0"/>
      <w:marTop w:val="0"/>
      <w:marBottom w:val="0"/>
      <w:divBdr>
        <w:top w:val="none" w:sz="0" w:space="0" w:color="auto"/>
        <w:left w:val="none" w:sz="0" w:space="0" w:color="auto"/>
        <w:bottom w:val="none" w:sz="0" w:space="0" w:color="auto"/>
        <w:right w:val="none" w:sz="0" w:space="0" w:color="auto"/>
      </w:divBdr>
    </w:div>
    <w:div w:id="637802450">
      <w:bodyDiv w:val="1"/>
      <w:marLeft w:val="0"/>
      <w:marRight w:val="0"/>
      <w:marTop w:val="0"/>
      <w:marBottom w:val="0"/>
      <w:divBdr>
        <w:top w:val="none" w:sz="0" w:space="0" w:color="auto"/>
        <w:left w:val="none" w:sz="0" w:space="0" w:color="auto"/>
        <w:bottom w:val="none" w:sz="0" w:space="0" w:color="auto"/>
        <w:right w:val="none" w:sz="0" w:space="0" w:color="auto"/>
      </w:divBdr>
    </w:div>
    <w:div w:id="661156952">
      <w:bodyDiv w:val="1"/>
      <w:marLeft w:val="0"/>
      <w:marRight w:val="0"/>
      <w:marTop w:val="0"/>
      <w:marBottom w:val="0"/>
      <w:divBdr>
        <w:top w:val="none" w:sz="0" w:space="0" w:color="auto"/>
        <w:left w:val="none" w:sz="0" w:space="0" w:color="auto"/>
        <w:bottom w:val="none" w:sz="0" w:space="0" w:color="auto"/>
        <w:right w:val="none" w:sz="0" w:space="0" w:color="auto"/>
      </w:divBdr>
    </w:div>
    <w:div w:id="675964524">
      <w:bodyDiv w:val="1"/>
      <w:marLeft w:val="0"/>
      <w:marRight w:val="0"/>
      <w:marTop w:val="0"/>
      <w:marBottom w:val="0"/>
      <w:divBdr>
        <w:top w:val="none" w:sz="0" w:space="0" w:color="auto"/>
        <w:left w:val="none" w:sz="0" w:space="0" w:color="auto"/>
        <w:bottom w:val="none" w:sz="0" w:space="0" w:color="auto"/>
        <w:right w:val="none" w:sz="0" w:space="0" w:color="auto"/>
      </w:divBdr>
    </w:div>
    <w:div w:id="744838387">
      <w:bodyDiv w:val="1"/>
      <w:marLeft w:val="0"/>
      <w:marRight w:val="0"/>
      <w:marTop w:val="0"/>
      <w:marBottom w:val="0"/>
      <w:divBdr>
        <w:top w:val="none" w:sz="0" w:space="0" w:color="auto"/>
        <w:left w:val="none" w:sz="0" w:space="0" w:color="auto"/>
        <w:bottom w:val="none" w:sz="0" w:space="0" w:color="auto"/>
        <w:right w:val="none" w:sz="0" w:space="0" w:color="auto"/>
      </w:divBdr>
    </w:div>
    <w:div w:id="789282764">
      <w:bodyDiv w:val="1"/>
      <w:marLeft w:val="0"/>
      <w:marRight w:val="0"/>
      <w:marTop w:val="0"/>
      <w:marBottom w:val="0"/>
      <w:divBdr>
        <w:top w:val="none" w:sz="0" w:space="0" w:color="auto"/>
        <w:left w:val="none" w:sz="0" w:space="0" w:color="auto"/>
        <w:bottom w:val="none" w:sz="0" w:space="0" w:color="auto"/>
        <w:right w:val="none" w:sz="0" w:space="0" w:color="auto"/>
      </w:divBdr>
    </w:div>
    <w:div w:id="804158781">
      <w:bodyDiv w:val="1"/>
      <w:marLeft w:val="0"/>
      <w:marRight w:val="0"/>
      <w:marTop w:val="0"/>
      <w:marBottom w:val="0"/>
      <w:divBdr>
        <w:top w:val="none" w:sz="0" w:space="0" w:color="auto"/>
        <w:left w:val="none" w:sz="0" w:space="0" w:color="auto"/>
        <w:bottom w:val="none" w:sz="0" w:space="0" w:color="auto"/>
        <w:right w:val="none" w:sz="0" w:space="0" w:color="auto"/>
      </w:divBdr>
    </w:div>
    <w:div w:id="814878781">
      <w:bodyDiv w:val="1"/>
      <w:marLeft w:val="0"/>
      <w:marRight w:val="0"/>
      <w:marTop w:val="0"/>
      <w:marBottom w:val="0"/>
      <w:divBdr>
        <w:top w:val="none" w:sz="0" w:space="0" w:color="auto"/>
        <w:left w:val="none" w:sz="0" w:space="0" w:color="auto"/>
        <w:bottom w:val="none" w:sz="0" w:space="0" w:color="auto"/>
        <w:right w:val="none" w:sz="0" w:space="0" w:color="auto"/>
      </w:divBdr>
    </w:div>
    <w:div w:id="847525428">
      <w:bodyDiv w:val="1"/>
      <w:marLeft w:val="0"/>
      <w:marRight w:val="0"/>
      <w:marTop w:val="0"/>
      <w:marBottom w:val="0"/>
      <w:divBdr>
        <w:top w:val="none" w:sz="0" w:space="0" w:color="auto"/>
        <w:left w:val="none" w:sz="0" w:space="0" w:color="auto"/>
        <w:bottom w:val="none" w:sz="0" w:space="0" w:color="auto"/>
        <w:right w:val="none" w:sz="0" w:space="0" w:color="auto"/>
      </w:divBdr>
    </w:div>
    <w:div w:id="903375580">
      <w:bodyDiv w:val="1"/>
      <w:marLeft w:val="0"/>
      <w:marRight w:val="0"/>
      <w:marTop w:val="0"/>
      <w:marBottom w:val="0"/>
      <w:divBdr>
        <w:top w:val="none" w:sz="0" w:space="0" w:color="auto"/>
        <w:left w:val="none" w:sz="0" w:space="0" w:color="auto"/>
        <w:bottom w:val="none" w:sz="0" w:space="0" w:color="auto"/>
        <w:right w:val="none" w:sz="0" w:space="0" w:color="auto"/>
      </w:divBdr>
    </w:div>
    <w:div w:id="907229672">
      <w:bodyDiv w:val="1"/>
      <w:marLeft w:val="0"/>
      <w:marRight w:val="0"/>
      <w:marTop w:val="0"/>
      <w:marBottom w:val="0"/>
      <w:divBdr>
        <w:top w:val="none" w:sz="0" w:space="0" w:color="auto"/>
        <w:left w:val="none" w:sz="0" w:space="0" w:color="auto"/>
        <w:bottom w:val="none" w:sz="0" w:space="0" w:color="auto"/>
        <w:right w:val="none" w:sz="0" w:space="0" w:color="auto"/>
      </w:divBdr>
    </w:div>
    <w:div w:id="919874412">
      <w:bodyDiv w:val="1"/>
      <w:marLeft w:val="0"/>
      <w:marRight w:val="0"/>
      <w:marTop w:val="0"/>
      <w:marBottom w:val="0"/>
      <w:divBdr>
        <w:top w:val="none" w:sz="0" w:space="0" w:color="auto"/>
        <w:left w:val="none" w:sz="0" w:space="0" w:color="auto"/>
        <w:bottom w:val="none" w:sz="0" w:space="0" w:color="auto"/>
        <w:right w:val="none" w:sz="0" w:space="0" w:color="auto"/>
      </w:divBdr>
    </w:div>
    <w:div w:id="952322324">
      <w:bodyDiv w:val="1"/>
      <w:marLeft w:val="0"/>
      <w:marRight w:val="0"/>
      <w:marTop w:val="0"/>
      <w:marBottom w:val="0"/>
      <w:divBdr>
        <w:top w:val="none" w:sz="0" w:space="0" w:color="auto"/>
        <w:left w:val="none" w:sz="0" w:space="0" w:color="auto"/>
        <w:bottom w:val="none" w:sz="0" w:space="0" w:color="auto"/>
        <w:right w:val="none" w:sz="0" w:space="0" w:color="auto"/>
      </w:divBdr>
    </w:div>
    <w:div w:id="962224129">
      <w:bodyDiv w:val="1"/>
      <w:marLeft w:val="0"/>
      <w:marRight w:val="0"/>
      <w:marTop w:val="0"/>
      <w:marBottom w:val="0"/>
      <w:divBdr>
        <w:top w:val="none" w:sz="0" w:space="0" w:color="auto"/>
        <w:left w:val="none" w:sz="0" w:space="0" w:color="auto"/>
        <w:bottom w:val="none" w:sz="0" w:space="0" w:color="auto"/>
        <w:right w:val="none" w:sz="0" w:space="0" w:color="auto"/>
      </w:divBdr>
    </w:div>
    <w:div w:id="1023287466">
      <w:bodyDiv w:val="1"/>
      <w:marLeft w:val="0"/>
      <w:marRight w:val="0"/>
      <w:marTop w:val="0"/>
      <w:marBottom w:val="0"/>
      <w:divBdr>
        <w:top w:val="none" w:sz="0" w:space="0" w:color="auto"/>
        <w:left w:val="none" w:sz="0" w:space="0" w:color="auto"/>
        <w:bottom w:val="none" w:sz="0" w:space="0" w:color="auto"/>
        <w:right w:val="none" w:sz="0" w:space="0" w:color="auto"/>
      </w:divBdr>
    </w:div>
    <w:div w:id="1034959203">
      <w:bodyDiv w:val="1"/>
      <w:marLeft w:val="0"/>
      <w:marRight w:val="0"/>
      <w:marTop w:val="0"/>
      <w:marBottom w:val="0"/>
      <w:divBdr>
        <w:top w:val="none" w:sz="0" w:space="0" w:color="auto"/>
        <w:left w:val="none" w:sz="0" w:space="0" w:color="auto"/>
        <w:bottom w:val="none" w:sz="0" w:space="0" w:color="auto"/>
        <w:right w:val="none" w:sz="0" w:space="0" w:color="auto"/>
      </w:divBdr>
    </w:div>
    <w:div w:id="1145243787">
      <w:bodyDiv w:val="1"/>
      <w:marLeft w:val="0"/>
      <w:marRight w:val="0"/>
      <w:marTop w:val="0"/>
      <w:marBottom w:val="0"/>
      <w:divBdr>
        <w:top w:val="none" w:sz="0" w:space="0" w:color="auto"/>
        <w:left w:val="none" w:sz="0" w:space="0" w:color="auto"/>
        <w:bottom w:val="none" w:sz="0" w:space="0" w:color="auto"/>
        <w:right w:val="none" w:sz="0" w:space="0" w:color="auto"/>
      </w:divBdr>
    </w:div>
    <w:div w:id="1189174544">
      <w:bodyDiv w:val="1"/>
      <w:marLeft w:val="0"/>
      <w:marRight w:val="0"/>
      <w:marTop w:val="0"/>
      <w:marBottom w:val="0"/>
      <w:divBdr>
        <w:top w:val="none" w:sz="0" w:space="0" w:color="auto"/>
        <w:left w:val="none" w:sz="0" w:space="0" w:color="auto"/>
        <w:bottom w:val="none" w:sz="0" w:space="0" w:color="auto"/>
        <w:right w:val="none" w:sz="0" w:space="0" w:color="auto"/>
      </w:divBdr>
    </w:div>
    <w:div w:id="1314796678">
      <w:bodyDiv w:val="1"/>
      <w:marLeft w:val="0"/>
      <w:marRight w:val="0"/>
      <w:marTop w:val="0"/>
      <w:marBottom w:val="0"/>
      <w:divBdr>
        <w:top w:val="none" w:sz="0" w:space="0" w:color="auto"/>
        <w:left w:val="none" w:sz="0" w:space="0" w:color="auto"/>
        <w:bottom w:val="none" w:sz="0" w:space="0" w:color="auto"/>
        <w:right w:val="none" w:sz="0" w:space="0" w:color="auto"/>
      </w:divBdr>
      <w:divsChild>
        <w:div w:id="469789178">
          <w:marLeft w:val="480"/>
          <w:marRight w:val="0"/>
          <w:marTop w:val="0"/>
          <w:marBottom w:val="0"/>
          <w:divBdr>
            <w:top w:val="none" w:sz="0" w:space="0" w:color="auto"/>
            <w:left w:val="none" w:sz="0" w:space="0" w:color="auto"/>
            <w:bottom w:val="none" w:sz="0" w:space="0" w:color="auto"/>
            <w:right w:val="none" w:sz="0" w:space="0" w:color="auto"/>
          </w:divBdr>
          <w:divsChild>
            <w:div w:id="3452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32610">
      <w:bodyDiv w:val="1"/>
      <w:marLeft w:val="0"/>
      <w:marRight w:val="0"/>
      <w:marTop w:val="0"/>
      <w:marBottom w:val="0"/>
      <w:divBdr>
        <w:top w:val="none" w:sz="0" w:space="0" w:color="auto"/>
        <w:left w:val="none" w:sz="0" w:space="0" w:color="auto"/>
        <w:bottom w:val="none" w:sz="0" w:space="0" w:color="auto"/>
        <w:right w:val="none" w:sz="0" w:space="0" w:color="auto"/>
      </w:divBdr>
    </w:div>
    <w:div w:id="1363557430">
      <w:bodyDiv w:val="1"/>
      <w:marLeft w:val="0"/>
      <w:marRight w:val="0"/>
      <w:marTop w:val="0"/>
      <w:marBottom w:val="0"/>
      <w:divBdr>
        <w:top w:val="none" w:sz="0" w:space="0" w:color="auto"/>
        <w:left w:val="none" w:sz="0" w:space="0" w:color="auto"/>
        <w:bottom w:val="none" w:sz="0" w:space="0" w:color="auto"/>
        <w:right w:val="none" w:sz="0" w:space="0" w:color="auto"/>
      </w:divBdr>
    </w:div>
    <w:div w:id="1517426233">
      <w:bodyDiv w:val="1"/>
      <w:marLeft w:val="0"/>
      <w:marRight w:val="0"/>
      <w:marTop w:val="0"/>
      <w:marBottom w:val="0"/>
      <w:divBdr>
        <w:top w:val="none" w:sz="0" w:space="0" w:color="auto"/>
        <w:left w:val="none" w:sz="0" w:space="0" w:color="auto"/>
        <w:bottom w:val="none" w:sz="0" w:space="0" w:color="auto"/>
        <w:right w:val="none" w:sz="0" w:space="0" w:color="auto"/>
      </w:divBdr>
    </w:div>
    <w:div w:id="1595479579">
      <w:bodyDiv w:val="1"/>
      <w:marLeft w:val="0"/>
      <w:marRight w:val="0"/>
      <w:marTop w:val="0"/>
      <w:marBottom w:val="0"/>
      <w:divBdr>
        <w:top w:val="none" w:sz="0" w:space="0" w:color="auto"/>
        <w:left w:val="none" w:sz="0" w:space="0" w:color="auto"/>
        <w:bottom w:val="none" w:sz="0" w:space="0" w:color="auto"/>
        <w:right w:val="none" w:sz="0" w:space="0" w:color="auto"/>
      </w:divBdr>
    </w:div>
    <w:div w:id="1658655182">
      <w:bodyDiv w:val="1"/>
      <w:marLeft w:val="0"/>
      <w:marRight w:val="0"/>
      <w:marTop w:val="0"/>
      <w:marBottom w:val="0"/>
      <w:divBdr>
        <w:top w:val="none" w:sz="0" w:space="0" w:color="auto"/>
        <w:left w:val="none" w:sz="0" w:space="0" w:color="auto"/>
        <w:bottom w:val="none" w:sz="0" w:space="0" w:color="auto"/>
        <w:right w:val="none" w:sz="0" w:space="0" w:color="auto"/>
      </w:divBdr>
    </w:div>
    <w:div w:id="1660887732">
      <w:bodyDiv w:val="1"/>
      <w:marLeft w:val="0"/>
      <w:marRight w:val="0"/>
      <w:marTop w:val="0"/>
      <w:marBottom w:val="0"/>
      <w:divBdr>
        <w:top w:val="none" w:sz="0" w:space="0" w:color="auto"/>
        <w:left w:val="none" w:sz="0" w:space="0" w:color="auto"/>
        <w:bottom w:val="none" w:sz="0" w:space="0" w:color="auto"/>
        <w:right w:val="none" w:sz="0" w:space="0" w:color="auto"/>
      </w:divBdr>
    </w:div>
    <w:div w:id="1798790477">
      <w:bodyDiv w:val="1"/>
      <w:marLeft w:val="0"/>
      <w:marRight w:val="0"/>
      <w:marTop w:val="0"/>
      <w:marBottom w:val="0"/>
      <w:divBdr>
        <w:top w:val="none" w:sz="0" w:space="0" w:color="auto"/>
        <w:left w:val="none" w:sz="0" w:space="0" w:color="auto"/>
        <w:bottom w:val="none" w:sz="0" w:space="0" w:color="auto"/>
        <w:right w:val="none" w:sz="0" w:space="0" w:color="auto"/>
      </w:divBdr>
    </w:div>
    <w:div w:id="1864442778">
      <w:bodyDiv w:val="1"/>
      <w:marLeft w:val="0"/>
      <w:marRight w:val="0"/>
      <w:marTop w:val="0"/>
      <w:marBottom w:val="0"/>
      <w:divBdr>
        <w:top w:val="none" w:sz="0" w:space="0" w:color="auto"/>
        <w:left w:val="none" w:sz="0" w:space="0" w:color="auto"/>
        <w:bottom w:val="none" w:sz="0" w:space="0" w:color="auto"/>
        <w:right w:val="none" w:sz="0" w:space="0" w:color="auto"/>
      </w:divBdr>
    </w:div>
    <w:div w:id="1902783800">
      <w:bodyDiv w:val="1"/>
      <w:marLeft w:val="0"/>
      <w:marRight w:val="0"/>
      <w:marTop w:val="0"/>
      <w:marBottom w:val="0"/>
      <w:divBdr>
        <w:top w:val="none" w:sz="0" w:space="0" w:color="auto"/>
        <w:left w:val="none" w:sz="0" w:space="0" w:color="auto"/>
        <w:bottom w:val="none" w:sz="0" w:space="0" w:color="auto"/>
        <w:right w:val="none" w:sz="0" w:space="0" w:color="auto"/>
      </w:divBdr>
    </w:div>
    <w:div w:id="1918856672">
      <w:bodyDiv w:val="1"/>
      <w:marLeft w:val="0"/>
      <w:marRight w:val="0"/>
      <w:marTop w:val="0"/>
      <w:marBottom w:val="0"/>
      <w:divBdr>
        <w:top w:val="none" w:sz="0" w:space="0" w:color="auto"/>
        <w:left w:val="none" w:sz="0" w:space="0" w:color="auto"/>
        <w:bottom w:val="none" w:sz="0" w:space="0" w:color="auto"/>
        <w:right w:val="none" w:sz="0" w:space="0" w:color="auto"/>
      </w:divBdr>
    </w:div>
    <w:div w:id="1934583444">
      <w:bodyDiv w:val="1"/>
      <w:marLeft w:val="0"/>
      <w:marRight w:val="0"/>
      <w:marTop w:val="0"/>
      <w:marBottom w:val="0"/>
      <w:divBdr>
        <w:top w:val="none" w:sz="0" w:space="0" w:color="auto"/>
        <w:left w:val="none" w:sz="0" w:space="0" w:color="auto"/>
        <w:bottom w:val="none" w:sz="0" w:space="0" w:color="auto"/>
        <w:right w:val="none" w:sz="0" w:space="0" w:color="auto"/>
      </w:divBdr>
    </w:div>
    <w:div w:id="2090156408">
      <w:bodyDiv w:val="1"/>
      <w:marLeft w:val="0"/>
      <w:marRight w:val="0"/>
      <w:marTop w:val="0"/>
      <w:marBottom w:val="0"/>
      <w:divBdr>
        <w:top w:val="none" w:sz="0" w:space="0" w:color="auto"/>
        <w:left w:val="none" w:sz="0" w:space="0" w:color="auto"/>
        <w:bottom w:val="none" w:sz="0" w:space="0" w:color="auto"/>
        <w:right w:val="none" w:sz="0" w:space="0" w:color="auto"/>
      </w:divBdr>
    </w:div>
    <w:div w:id="21240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cilforeconed.org/wp-content/uploads/2022/03/2022-SURVEY-OF-THE-STATES.pdf" TargetMode="External"/><Relationship Id="rId13" Type="http://schemas.openxmlformats.org/officeDocument/2006/relationships/header" Target="head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oleObject" Target="Macintosh:Users:Ninie:Documents:Literacy:survey%20data%201226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Users:Ninie:Documents:Literacy:survey%20data%201226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Users:Ninie:Documents:Literacy:survey%20data%201226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Users:Ninie:Documents:Literacy:survey%20data%201226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Users:Ninie:Documents:Literacy:survey%20data%201226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Users:Ninie:Documents:Literacy:survey%20data%20122620.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Users\ninie\Documents\Dataset\Tax%20literacy\Data\survey%20data%20122620.xlsx" TargetMode="External"/><Relationship Id="rId2" Type="http://schemas.microsoft.com/office/2011/relationships/chartColorStyle" Target="colors1.xml"/><Relationship Id="rId1" Type="http://schemas.microsoft.com/office/2011/relationships/chartStyle" Target="style1.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9.xml.rels><?xml version="1.0" encoding="UTF-8" standalone="yes"?>
<Relationships xmlns="http://schemas.openxmlformats.org/package/2006/relationships"><Relationship Id="rId1" Type="http://schemas.openxmlformats.org/officeDocument/2006/relationships/oleObject" Target="file:///C:\Users\ninie\Documents\Dataset\Tax%20literacy\Data\survey%20data%201226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a:latin typeface="Cambria" panose="02040503050406030204" pitchFamily="18" charset="0"/>
              </a:defRPr>
            </a:pPr>
            <a:r>
              <a:rPr lang="en-US" sz="1000">
                <a:latin typeface="Times New Roman" panose="02020603050405020304" pitchFamily="18" charset="0"/>
                <a:cs typeface="Times New Roman" panose="02020603050405020304" pitchFamily="18" charset="0"/>
              </a:rPr>
              <a:t>Gender</a:t>
            </a:r>
          </a:p>
        </c:rich>
      </c:tx>
      <c:layout>
        <c:manualLayout>
          <c:xMode val="edge"/>
          <c:yMode val="edge"/>
          <c:x val="0.37536898004028602"/>
          <c:y val="3.5928152182599898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3953488372092998E-2"/>
          <c:y val="0.20658687504994899"/>
          <c:w val="0.72323475553927796"/>
          <c:h val="0.79341312495005101"/>
        </c:manualLayout>
      </c:layout>
      <c:pie3DChart>
        <c:varyColors val="1"/>
        <c:ser>
          <c:idx val="0"/>
          <c:order val="0"/>
          <c:tx>
            <c:v>Gender</c:v>
          </c:tx>
          <c:dLbls>
            <c:dLbl>
              <c:idx val="0"/>
              <c:layout>
                <c:manualLayout>
                  <c:x val="-0.29344396630653702"/>
                  <c:y val="-6.9881670489337203E-2"/>
                </c:manualLayout>
              </c:layout>
              <c:tx>
                <c:rich>
                  <a:bodyPr/>
                  <a:lstStyle/>
                  <a:p>
                    <a:fld id="{92098154-5281-D542-8FF2-041F5B30DCFC}" type="CATEGORYNAME">
                      <a:rPr lang="en-US"/>
                      <a:pPr/>
                      <a:t>[CATEGORY NAME]</a:t>
                    </a:fld>
                    <a:r>
                      <a:rPr lang="en-US" baseline="0"/>
                      <a:t>
48%</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CAF-48B8-B527-D756C498EEDA}"/>
                </c:ext>
              </c:extLst>
            </c:dLbl>
            <c:dLbl>
              <c:idx val="1"/>
              <c:tx>
                <c:rich>
                  <a:bodyPr/>
                  <a:lstStyle/>
                  <a:p>
                    <a:fld id="{604BE1B2-539A-AB47-BBB8-A950E95178E4}" type="CATEGORYNAME">
                      <a:rPr lang="en-US"/>
                      <a:pPr/>
                      <a:t>[CATEGORY NAME]</a:t>
                    </a:fld>
                    <a:r>
                      <a:rPr lang="en-US" baseline="0"/>
                      <a:t>
52%</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CAF-48B8-B527-D756C498EEDA}"/>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'DQ charts'!$A$2:$A$3</c:f>
              <c:strCache>
                <c:ptCount val="2"/>
                <c:pt idx="0">
                  <c:v>Female</c:v>
                </c:pt>
                <c:pt idx="1">
                  <c:v>Male</c:v>
                </c:pt>
              </c:strCache>
            </c:strRef>
          </c:cat>
          <c:val>
            <c:numRef>
              <c:f>'DQ charts'!$B$2:$B$3</c:f>
              <c:numCache>
                <c:formatCode>General</c:formatCode>
                <c:ptCount val="2"/>
                <c:pt idx="0">
                  <c:v>69</c:v>
                </c:pt>
                <c:pt idx="1">
                  <c:v>62</c:v>
                </c:pt>
              </c:numCache>
            </c:numRef>
          </c:val>
          <c:extLst>
            <c:ext xmlns:c16="http://schemas.microsoft.com/office/drawing/2014/chart" uri="{C3380CC4-5D6E-409C-BE32-E72D297353CC}">
              <c16:uniqueId val="{00000002-DCAF-48B8-B527-D756C498EEDA}"/>
            </c:ext>
          </c:extLst>
        </c:ser>
        <c:dLbls>
          <c:showLegendKey val="0"/>
          <c:showVal val="0"/>
          <c:showCatName val="0"/>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Age</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881698104166999"/>
          <c:y val="0.15011878773279499"/>
          <c:w val="0.70054091430446697"/>
          <c:h val="0.84988095202261205"/>
        </c:manualLayout>
      </c:layout>
      <c:pie3DChart>
        <c:varyColors val="1"/>
        <c:ser>
          <c:idx val="0"/>
          <c:order val="0"/>
          <c:tx>
            <c:strRef>
              <c:f>'DQ charts'!$G$2</c:f>
              <c:strCache>
                <c:ptCount val="1"/>
                <c:pt idx="0">
                  <c:v>18-20</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521-4000-8CA3-7199E61242CC}"/>
              </c:ext>
            </c:extLst>
          </c:dPt>
          <c:dPt>
            <c:idx val="1"/>
            <c:bubble3D val="0"/>
            <c:spPr>
              <a:pattFill prst="ltVert">
                <a:fgClr>
                  <a:schemeClr val="accent2"/>
                </a:fgClr>
                <a:bgClr>
                  <a:prstClr val="white"/>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8521-4000-8CA3-7199E61242CC}"/>
              </c:ext>
            </c:extLst>
          </c:dPt>
          <c:dPt>
            <c:idx val="2"/>
            <c:bubble3D val="0"/>
            <c:spPr>
              <a:solidFill>
                <a:schemeClr val="bg1">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8521-4000-8CA3-7199E61242CC}"/>
              </c:ext>
            </c:extLst>
          </c:dPt>
          <c:dLbls>
            <c:dLbl>
              <c:idx val="0"/>
              <c:layout>
                <c:manualLayout>
                  <c:x val="-0.227658768568515"/>
                  <c:y val="-0.18350791378350401"/>
                </c:manualLayout>
              </c:layout>
              <c:tx>
                <c:rich>
                  <a:bodyPr/>
                  <a:lstStyle/>
                  <a:p>
                    <a:fld id="{7A68E3EF-AE53-4848-8B70-07B4166144E5}" type="CATEGORYNAME">
                      <a:rPr lang="en-US"/>
                      <a:pPr/>
                      <a:t>[CATEGORY NAME]</a:t>
                    </a:fld>
                    <a:r>
                      <a:rPr lang="en-US" baseline="0"/>
                      <a:t>
60%</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521-4000-8CA3-7199E61242CC}"/>
                </c:ext>
              </c:extLst>
            </c:dLbl>
            <c:dLbl>
              <c:idx val="1"/>
              <c:layout>
                <c:manualLayout>
                  <c:x val="2.89274248933893E-2"/>
                  <c:y val="5.3875732072687803E-2"/>
                </c:manualLayout>
              </c:layout>
              <c:tx>
                <c:rich>
                  <a:bodyPr/>
                  <a:lstStyle/>
                  <a:p>
                    <a:fld id="{08818E4F-D7D8-2043-8EC5-D7AF80D01810}" type="CATEGORYNAME">
                      <a:rPr lang="en-US"/>
                      <a:pPr/>
                      <a:t>[CATEGORY NAME]</a:t>
                    </a:fld>
                    <a:r>
                      <a:rPr lang="en-US" baseline="0"/>
                      <a:t>
30%</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521-4000-8CA3-7199E61242CC}"/>
                </c:ext>
              </c:extLst>
            </c:dLbl>
            <c:dLbl>
              <c:idx val="2"/>
              <c:layout>
                <c:manualLayout>
                  <c:x val="-1.4309785820383E-2"/>
                  <c:y val="0.122370936902486"/>
                </c:manualLayout>
              </c:layout>
              <c:tx>
                <c:rich>
                  <a:bodyPr/>
                  <a:lstStyle/>
                  <a:p>
                    <a:fld id="{785CAAE7-E415-9C4D-9155-91DC1D39A53B}" type="CATEGORYNAME">
                      <a:rPr lang="en-US"/>
                      <a:pPr/>
                      <a:t>[CATEGORY NAME]</a:t>
                    </a:fld>
                    <a:r>
                      <a:rPr lang="en-US" baseline="0"/>
                      <a:t>
10%</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521-4000-8CA3-7199E61242CC}"/>
                </c:ext>
              </c:extLst>
            </c:dLbl>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'DQ charts'!$G$2:$G$4</c:f>
              <c:strCache>
                <c:ptCount val="3"/>
                <c:pt idx="0">
                  <c:v>18-20</c:v>
                </c:pt>
                <c:pt idx="1">
                  <c:v>21-23</c:v>
                </c:pt>
                <c:pt idx="2">
                  <c:v>Above 23</c:v>
                </c:pt>
              </c:strCache>
            </c:strRef>
          </c:cat>
          <c:val>
            <c:numRef>
              <c:f>'DQ charts'!$H$2:$H$4</c:f>
              <c:numCache>
                <c:formatCode>General</c:formatCode>
                <c:ptCount val="3"/>
                <c:pt idx="0">
                  <c:v>85</c:v>
                </c:pt>
                <c:pt idx="1">
                  <c:v>30</c:v>
                </c:pt>
                <c:pt idx="2">
                  <c:v>16</c:v>
                </c:pt>
              </c:numCache>
            </c:numRef>
          </c:val>
          <c:extLst>
            <c:ext xmlns:c16="http://schemas.microsoft.com/office/drawing/2014/chart" uri="{C3380CC4-5D6E-409C-BE32-E72D297353CC}">
              <c16:uniqueId val="{00000006-8521-4000-8CA3-7199E61242CC}"/>
            </c:ext>
          </c:extLst>
        </c:ser>
        <c:ser>
          <c:idx val="1"/>
          <c:order val="1"/>
          <c:tx>
            <c:strRef>
              <c:f>'DQ charts'!$G$3</c:f>
              <c:strCache>
                <c:ptCount val="1"/>
                <c:pt idx="0">
                  <c:v>21-23</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8-8521-4000-8CA3-7199E61242CC}"/>
              </c:ext>
            </c:extLst>
          </c:dPt>
          <c:dLbls>
            <c:spPr>
              <a:noFill/>
              <a:ln>
                <a:noFill/>
              </a:ln>
              <a:effectLst/>
            </c:spPr>
            <c:txPr>
              <a:bodyPr rot="0" vert="horz"/>
              <a:lstStyle/>
              <a:p>
                <a:pPr>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val>
            <c:numLit>
              <c:formatCode>General</c:formatCode>
              <c:ptCount val="1"/>
              <c:pt idx="0">
                <c:v>1</c:v>
              </c:pt>
            </c:numLit>
          </c:val>
          <c:extLst>
            <c:ext xmlns:c16="http://schemas.microsoft.com/office/drawing/2014/chart" uri="{C3380CC4-5D6E-409C-BE32-E72D297353CC}">
              <c16:uniqueId val="{00000009-8521-4000-8CA3-7199E61242CC}"/>
            </c:ext>
          </c:extLst>
        </c:ser>
        <c:ser>
          <c:idx val="2"/>
          <c:order val="2"/>
          <c:tx>
            <c:strRef>
              <c:f>'DQ charts'!$G$4</c:f>
              <c:strCache>
                <c:ptCount val="1"/>
                <c:pt idx="0">
                  <c:v>Above 23</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B-8521-4000-8CA3-7199E61242CC}"/>
              </c:ext>
            </c:extLst>
          </c:dPt>
          <c:dLbls>
            <c:spPr>
              <a:noFill/>
              <a:ln>
                <a:noFill/>
              </a:ln>
              <a:effectLst/>
            </c:spPr>
            <c:txPr>
              <a:bodyPr rot="0" vert="horz"/>
              <a:lstStyle/>
              <a:p>
                <a:pPr>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val>
            <c:numLit>
              <c:formatCode>General</c:formatCode>
              <c:ptCount val="1"/>
              <c:pt idx="0">
                <c:v>1</c:v>
              </c:pt>
            </c:numLit>
          </c:val>
          <c:extLst>
            <c:ext xmlns:c16="http://schemas.microsoft.com/office/drawing/2014/chart" uri="{C3380CC4-5D6E-409C-BE32-E72D297353CC}">
              <c16:uniqueId val="{0000000C-8521-4000-8CA3-7199E61242CC}"/>
            </c:ext>
          </c:extLst>
        </c:ser>
        <c:dLbls>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Cambria"/>
          <a:cs typeface="Cambria"/>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000">
              <a:latin typeface="Times New Roman" panose="02020603050405020304" pitchFamily="18" charset="0"/>
              <a:cs typeface="Times New Roman" panose="02020603050405020304" pitchFamily="18" charset="0"/>
            </a:defRPr>
          </a:pPr>
          <a:endParaRPr lang="en-U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0.23937780924295901"/>
          <c:y val="0.216705199664214"/>
          <c:w val="0.51452738368140505"/>
          <c:h val="0.77686993581758501"/>
        </c:manualLayout>
      </c:layout>
      <c:pie3DChart>
        <c:varyColors val="1"/>
        <c:ser>
          <c:idx val="0"/>
          <c:order val="0"/>
          <c:tx>
            <c:v>Tax return filing experience</c:v>
          </c:tx>
          <c:dLbls>
            <c:dLbl>
              <c:idx val="0"/>
              <c:tx>
                <c:rich>
                  <a:bodyPr/>
                  <a:lstStyle/>
                  <a:p>
                    <a:fld id="{76D420D4-CFDA-9E4C-A593-C93506589182}" type="CATEGORYNAME">
                      <a:rPr lang="en-US"/>
                      <a:pPr/>
                      <a:t>[CATEGORY NAME]</a:t>
                    </a:fld>
                    <a:r>
                      <a:rPr lang="en-US" baseline="0"/>
                      <a:t>
68%</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EBC-420E-918C-2B61EAAA464D}"/>
                </c:ext>
              </c:extLst>
            </c:dLbl>
            <c:dLbl>
              <c:idx val="1"/>
              <c:layout>
                <c:manualLayout>
                  <c:x val="-0.2280723513134654"/>
                  <c:y val="0.25236593059936901"/>
                </c:manualLayout>
              </c:layout>
              <c:tx>
                <c:rich>
                  <a:bodyPr/>
                  <a:lstStyle/>
                  <a:p>
                    <a:fld id="{86DB7030-E9A8-C047-9F12-CF20AEB837F0}" type="CATEGORYNAME">
                      <a:rPr lang="en-US"/>
                      <a:pPr/>
                      <a:t>[CATEGORY NAME]</a:t>
                    </a:fld>
                    <a:r>
                      <a:rPr lang="en-US" baseline="0"/>
                      <a:t>
32%</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2153321834108923"/>
                      <c:h val="0.44882607339697678"/>
                    </c:manualLayout>
                  </c15:layout>
                  <c15:dlblFieldTable/>
                  <c15:showDataLabelsRange val="0"/>
                </c:ext>
                <c:ext xmlns:c16="http://schemas.microsoft.com/office/drawing/2014/chart" uri="{C3380CC4-5D6E-409C-BE32-E72D297353CC}">
                  <c16:uniqueId val="{00000001-4EBC-420E-918C-2B61EAAA464D}"/>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'DQ charts'!$X$23:$X$24</c:f>
              <c:strCache>
                <c:ptCount val="2"/>
                <c:pt idx="0">
                  <c:v>Filed tax returns</c:v>
                </c:pt>
                <c:pt idx="1">
                  <c:v>Never filed a tax return</c:v>
                </c:pt>
              </c:strCache>
            </c:strRef>
          </c:cat>
          <c:val>
            <c:numRef>
              <c:f>'DQ charts'!$Y$23:$Y$24</c:f>
              <c:numCache>
                <c:formatCode>General</c:formatCode>
                <c:ptCount val="2"/>
                <c:pt idx="0">
                  <c:v>116</c:v>
                </c:pt>
                <c:pt idx="1">
                  <c:v>15</c:v>
                </c:pt>
              </c:numCache>
            </c:numRef>
          </c:val>
          <c:extLst>
            <c:ext xmlns:c16="http://schemas.microsoft.com/office/drawing/2014/chart" uri="{C3380CC4-5D6E-409C-BE32-E72D297353CC}">
              <c16:uniqueId val="{00000002-4EBC-420E-918C-2B61EAAA464D}"/>
            </c:ext>
          </c:extLst>
        </c:ser>
        <c:dLbls>
          <c:showLegendKey val="0"/>
          <c:showVal val="0"/>
          <c:showCatName val="0"/>
          <c:showSerName val="0"/>
          <c:showPercent val="0"/>
          <c:showBubbleSize val="0"/>
          <c:showLeaderLines val="1"/>
        </c:dLbls>
      </c:pie3DChart>
      <c:spPr>
        <a:ln>
          <a:solidFill>
            <a:schemeClr val="bg1"/>
          </a:solidFill>
        </a:ln>
      </c:spPr>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a:solidFill>
                  <a:schemeClr val="tx1"/>
                </a:solidFill>
                <a:latin typeface="Times New Roman" panose="02020603050405020304" pitchFamily="18" charset="0"/>
                <a:cs typeface="Times New Roman" panose="02020603050405020304" pitchFamily="18" charset="0"/>
              </a:rPr>
              <a:t>Paid work experience in the</a:t>
            </a:r>
            <a:r>
              <a:rPr lang="en-US" sz="1000" b="1" i="0" baseline="0">
                <a:solidFill>
                  <a:schemeClr val="tx1"/>
                </a:solidFill>
                <a:latin typeface="Times New Roman" panose="02020603050405020304" pitchFamily="18" charset="0"/>
                <a:cs typeface="Times New Roman" panose="02020603050405020304" pitchFamily="18" charset="0"/>
              </a:rPr>
              <a:t> past </a:t>
            </a:r>
            <a:r>
              <a:rPr lang="en-US" sz="1000" b="1" i="0" u="none" strike="noStrike" baseline="0">
                <a:effectLst/>
                <a:latin typeface="Times New Roman" panose="02020603050405020304" pitchFamily="18" charset="0"/>
                <a:cs typeface="Times New Roman" panose="02020603050405020304" pitchFamily="18" charset="0"/>
              </a:rPr>
              <a:t>5</a:t>
            </a:r>
            <a:r>
              <a:rPr lang="en-US" sz="1000" b="0" i="0" u="none" strike="noStrike" baseline="0">
                <a:latin typeface="Times New Roman" panose="02020603050405020304" pitchFamily="18" charset="0"/>
                <a:cs typeface="Times New Roman" panose="02020603050405020304" pitchFamily="18" charset="0"/>
              </a:rPr>
              <a:t> </a:t>
            </a:r>
            <a:r>
              <a:rPr lang="en-US" sz="1000" b="1" i="0" baseline="0">
                <a:solidFill>
                  <a:schemeClr val="tx1"/>
                </a:solidFill>
                <a:latin typeface="Times New Roman" panose="02020603050405020304" pitchFamily="18" charset="0"/>
                <a:cs typeface="Times New Roman" panose="02020603050405020304" pitchFamily="18" charset="0"/>
              </a:rPr>
              <a:t>years</a:t>
            </a:r>
            <a:endParaRPr lang="en-US" sz="1000" b="1" i="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9.6350866686175901E-2"/>
          <c:y val="6.51041666666666E-3"/>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6494797630752898E-2"/>
          <c:y val="0.14724630341268"/>
          <c:w val="0.52454918883910195"/>
          <c:h val="0.62154178969816298"/>
        </c:manualLayout>
      </c:layout>
      <c:pie3DChart>
        <c:varyColors val="1"/>
        <c:ser>
          <c:idx val="0"/>
          <c:order val="0"/>
          <c:tx>
            <c:strRef>
              <c:f>'DQ charts'!$S$2</c:f>
              <c:strCache>
                <c:ptCount val="1"/>
                <c:pt idx="0">
                  <c:v>None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0E3-4632-BFE1-6B893D35D1F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0E3-4632-BFE1-6B893D35D1F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0E3-4632-BFE1-6B893D35D1F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0E3-4632-BFE1-6B893D35D1F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0E3-4632-BFE1-6B893D35D1FF}"/>
              </c:ext>
            </c:extLst>
          </c:dPt>
          <c:dLbls>
            <c:dLbl>
              <c:idx val="0"/>
              <c:tx>
                <c:rich>
                  <a:bodyPr/>
                  <a:lstStyle/>
                  <a:p>
                    <a:fld id="{87A3A974-4494-9644-86E9-4FAD8F6760AB}" type="CATEGORYNAME">
                      <a:rPr lang="en-US"/>
                      <a:pPr/>
                      <a:t>[CATEGORY NAME]</a:t>
                    </a:fld>
                    <a:r>
                      <a:rPr lang="en-US" baseline="0"/>
                      <a:t>
26%</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0E3-4632-BFE1-6B893D35D1FF}"/>
                </c:ext>
              </c:extLst>
            </c:dLbl>
            <c:dLbl>
              <c:idx val="1"/>
              <c:tx>
                <c:rich>
                  <a:bodyPr/>
                  <a:lstStyle/>
                  <a:p>
                    <a:fld id="{859883AF-0416-9B46-BB73-FEAC89FEC02C}" type="CATEGORYNAME">
                      <a:rPr lang="en-US"/>
                      <a:pPr/>
                      <a:t>[CATEGORY NAME]</a:t>
                    </a:fld>
                    <a:r>
                      <a:rPr lang="en-US" baseline="0"/>
                      <a:t>
8%</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0E3-4632-BFE1-6B893D35D1FF}"/>
                </c:ext>
              </c:extLst>
            </c:dLbl>
            <c:dLbl>
              <c:idx val="3"/>
              <c:tx>
                <c:rich>
                  <a:bodyPr/>
                  <a:lstStyle/>
                  <a:p>
                    <a:fld id="{95D7FA24-887B-2340-BE1E-5C760B11DD57}" type="CATEGORYNAME">
                      <a:rPr lang="en-US"/>
                      <a:pPr/>
                      <a:t>[CATEGORY NAME]</a:t>
                    </a:fld>
                    <a:r>
                      <a:rPr lang="en-US" baseline="0"/>
                      <a:t>
14%</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0E3-4632-BFE1-6B893D35D1FF}"/>
                </c:ext>
              </c:extLst>
            </c:dLbl>
            <c:dLbl>
              <c:idx val="4"/>
              <c:tx>
                <c:rich>
                  <a:bodyPr/>
                  <a:lstStyle/>
                  <a:p>
                    <a:fld id="{9F5C11E4-3D23-6F41-A19D-16AB5495F7B8}" type="CATEGORYNAME">
                      <a:rPr lang="en-US"/>
                      <a:pPr/>
                      <a:t>[CATEGORY NAME]</a:t>
                    </a:fld>
                    <a:r>
                      <a:rPr lang="en-US" baseline="0"/>
                      <a:t>
40%</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0E3-4632-BFE1-6B893D35D1F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'DQ charts'!$S$2:$S$6</c:f>
              <c:strCache>
                <c:ptCount val="5"/>
                <c:pt idx="0">
                  <c:v>None</c:v>
                </c:pt>
                <c:pt idx="1">
                  <c:v>Under 3 Months</c:v>
                </c:pt>
                <c:pt idx="2">
                  <c:v>3 Months to a Year</c:v>
                </c:pt>
                <c:pt idx="3">
                  <c:v>1 Year to 2 Years</c:v>
                </c:pt>
                <c:pt idx="4">
                  <c:v>Over 2 Years</c:v>
                </c:pt>
              </c:strCache>
            </c:strRef>
          </c:cat>
          <c:val>
            <c:numRef>
              <c:f>'DQ charts'!$T$2:$T$6</c:f>
              <c:numCache>
                <c:formatCode>General</c:formatCode>
                <c:ptCount val="5"/>
                <c:pt idx="0">
                  <c:v>29</c:v>
                </c:pt>
                <c:pt idx="1">
                  <c:v>8</c:v>
                </c:pt>
                <c:pt idx="2">
                  <c:v>15</c:v>
                </c:pt>
                <c:pt idx="3">
                  <c:v>17</c:v>
                </c:pt>
                <c:pt idx="4">
                  <c:v>62</c:v>
                </c:pt>
              </c:numCache>
            </c:numRef>
          </c:val>
          <c:extLst>
            <c:ext xmlns:c16="http://schemas.microsoft.com/office/drawing/2014/chart" uri="{C3380CC4-5D6E-409C-BE32-E72D297353CC}">
              <c16:uniqueId val="{0000000A-70E3-4632-BFE1-6B893D35D1FF}"/>
            </c:ext>
          </c:extLst>
        </c:ser>
        <c:ser>
          <c:idx val="1"/>
          <c:order val="1"/>
          <c:tx>
            <c:strRef>
              <c:f>'DQ charts'!$S$3</c:f>
              <c:strCache>
                <c:ptCount val="1"/>
                <c:pt idx="0">
                  <c:v>Under 3 Months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C-70E3-4632-BFE1-6B893D35D1F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Lit>
              <c:formatCode>General</c:formatCode>
              <c:ptCount val="1"/>
              <c:pt idx="0">
                <c:v>1</c:v>
              </c:pt>
            </c:numLit>
          </c:val>
          <c:extLst>
            <c:ext xmlns:c16="http://schemas.microsoft.com/office/drawing/2014/chart" uri="{C3380CC4-5D6E-409C-BE32-E72D297353CC}">
              <c16:uniqueId val="{0000000D-70E3-4632-BFE1-6B893D35D1FF}"/>
            </c:ext>
          </c:extLst>
        </c:ser>
        <c:ser>
          <c:idx val="2"/>
          <c:order val="2"/>
          <c:tx>
            <c:strRef>
              <c:f>'DQ charts'!$S$4</c:f>
              <c:strCache>
                <c:ptCount val="1"/>
                <c:pt idx="0">
                  <c:v>3 Months to a Year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F-70E3-4632-BFE1-6B893D35D1F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Lit>
              <c:formatCode>General</c:formatCode>
              <c:ptCount val="1"/>
              <c:pt idx="0">
                <c:v>1</c:v>
              </c:pt>
            </c:numLit>
          </c:val>
          <c:extLst>
            <c:ext xmlns:c16="http://schemas.microsoft.com/office/drawing/2014/chart" uri="{C3380CC4-5D6E-409C-BE32-E72D297353CC}">
              <c16:uniqueId val="{00000010-70E3-4632-BFE1-6B893D35D1FF}"/>
            </c:ext>
          </c:extLst>
        </c:ser>
        <c:ser>
          <c:idx val="3"/>
          <c:order val="3"/>
          <c:tx>
            <c:strRef>
              <c:f>'DQ charts'!$S$5</c:f>
              <c:strCache>
                <c:ptCount val="1"/>
                <c:pt idx="0">
                  <c:v>1 Year to 2 Years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12-70E3-4632-BFE1-6B893D35D1F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Lit>
              <c:formatCode>General</c:formatCode>
              <c:ptCount val="1"/>
              <c:pt idx="0">
                <c:v>1</c:v>
              </c:pt>
            </c:numLit>
          </c:val>
          <c:extLst>
            <c:ext xmlns:c16="http://schemas.microsoft.com/office/drawing/2014/chart" uri="{C3380CC4-5D6E-409C-BE32-E72D297353CC}">
              <c16:uniqueId val="{00000013-70E3-4632-BFE1-6B893D35D1FF}"/>
            </c:ext>
          </c:extLst>
        </c:ser>
        <c:ser>
          <c:idx val="4"/>
          <c:order val="4"/>
          <c:tx>
            <c:strRef>
              <c:f>'DQ charts'!$S$6</c:f>
              <c:strCache>
                <c:ptCount val="1"/>
                <c:pt idx="0">
                  <c:v>Over 2 Years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15-70E3-4632-BFE1-6B893D35D1F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Lit>
              <c:formatCode>General</c:formatCode>
              <c:ptCount val="1"/>
              <c:pt idx="0">
                <c:v>1</c:v>
              </c:pt>
            </c:numLit>
          </c:val>
          <c:extLst>
            <c:ext xmlns:c16="http://schemas.microsoft.com/office/drawing/2014/chart" uri="{C3380CC4-5D6E-409C-BE32-E72D297353CC}">
              <c16:uniqueId val="{00000016-70E3-4632-BFE1-6B893D35D1FF}"/>
            </c:ext>
          </c:extLst>
        </c:ser>
        <c:dLbls>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Annual household income</a:t>
            </a:r>
          </a:p>
        </c:rich>
      </c:tx>
      <c:layout>
        <c:manualLayout>
          <c:xMode val="edge"/>
          <c:yMode val="edge"/>
          <c:x val="3.1359972021521097E-2"/>
          <c:y val="6.57678395264715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5830471706003"/>
          <c:y val="0.245379291416261"/>
          <c:w val="0.64497230040084097"/>
          <c:h val="0.709130842916738"/>
        </c:manualLayout>
      </c:layout>
      <c:pie3DChart>
        <c:varyColors val="1"/>
        <c:ser>
          <c:idx val="0"/>
          <c:order val="0"/>
          <c:tx>
            <c:strRef>
              <c:f>'DQ charts'!$A$24</c:f>
              <c:strCache>
                <c:ptCount val="1"/>
                <c:pt idx="0">
                  <c:v>Less Than $35,000</c:v>
                </c:pt>
              </c:strCache>
            </c:strRef>
          </c:tx>
          <c:explosion val="23"/>
          <c:dPt>
            <c:idx val="0"/>
            <c:bubble3D val="0"/>
            <c:explosion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861-4BC9-8B1E-16932DAF4B43}"/>
              </c:ext>
            </c:extLst>
          </c:dPt>
          <c:dPt>
            <c:idx val="1"/>
            <c:bubble3D val="0"/>
            <c:explosion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861-4BC9-8B1E-16932DAF4B43}"/>
              </c:ext>
            </c:extLst>
          </c:dPt>
          <c:dPt>
            <c:idx val="2"/>
            <c:bubble3D val="0"/>
            <c:explosion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861-4BC9-8B1E-16932DAF4B43}"/>
              </c:ext>
            </c:extLst>
          </c:dPt>
          <c:dPt>
            <c:idx val="3"/>
            <c:bubble3D val="0"/>
            <c:explosion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861-4BC9-8B1E-16932DAF4B43}"/>
              </c:ext>
            </c:extLst>
          </c:dPt>
          <c:dLbls>
            <c:dLbl>
              <c:idx val="0"/>
              <c:tx>
                <c:rich>
                  <a:bodyPr/>
                  <a:lstStyle/>
                  <a:p>
                    <a:fld id="{B7730EFB-A174-974A-8332-1CE20BDC9444}" type="CATEGORYNAME">
                      <a:rPr lang="en-US"/>
                      <a:pPr/>
                      <a:t>[CATEGORY NAME]</a:t>
                    </a:fld>
                    <a:r>
                      <a:rPr lang="en-US" baseline="0"/>
                      <a:t>
16%</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861-4BC9-8B1E-16932DAF4B43}"/>
                </c:ext>
              </c:extLst>
            </c:dLbl>
            <c:dLbl>
              <c:idx val="1"/>
              <c:tx>
                <c:rich>
                  <a:bodyPr/>
                  <a:lstStyle/>
                  <a:p>
                    <a:fld id="{78FE2938-797D-9442-B891-07DBB9380869}" type="CATEGORYNAME">
                      <a:rPr lang="en-US"/>
                      <a:pPr/>
                      <a:t>[CATEGORY NAME]</a:t>
                    </a:fld>
                    <a:r>
                      <a:rPr lang="en-US" baseline="0"/>
                      <a:t>
14%</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861-4BC9-8B1E-16932DAF4B43}"/>
                </c:ext>
              </c:extLst>
            </c:dLbl>
            <c:dLbl>
              <c:idx val="2"/>
              <c:tx>
                <c:rich>
                  <a:bodyPr/>
                  <a:lstStyle/>
                  <a:p>
                    <a:fld id="{1336EAEA-26E2-AB49-9B4D-F6800AA2A669}" type="CATEGORYNAME">
                      <a:rPr lang="en-US"/>
                      <a:pPr/>
                      <a:t>[CATEGORY NAME]</a:t>
                    </a:fld>
                    <a:r>
                      <a:rPr lang="en-US" baseline="0"/>
                      <a:t>
33%</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861-4BC9-8B1E-16932DAF4B43}"/>
                </c:ext>
              </c:extLst>
            </c:dLbl>
            <c:dLbl>
              <c:idx val="3"/>
              <c:tx>
                <c:rich>
                  <a:bodyPr/>
                  <a:lstStyle/>
                  <a:p>
                    <a:fld id="{C728CE68-8621-7044-9BC4-F76BEC7AB486}" type="CATEGORYNAME">
                      <a:rPr lang="en-US"/>
                      <a:pPr/>
                      <a:t>[CATEGORY NAME]</a:t>
                    </a:fld>
                    <a:r>
                      <a:rPr lang="en-US" baseline="0"/>
                      <a:t>
37%</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861-4BC9-8B1E-16932DAF4B43}"/>
                </c:ext>
              </c:extLst>
            </c:dLbl>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en-US"/>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'DQ charts'!$A$24:$A$27</c:f>
              <c:strCache>
                <c:ptCount val="4"/>
                <c:pt idx="0">
                  <c:v>Less Than $35,000</c:v>
                </c:pt>
                <c:pt idx="1">
                  <c:v>$35,000 to $74,999</c:v>
                </c:pt>
                <c:pt idx="2">
                  <c:v>$75,000 to $149,999</c:v>
                </c:pt>
                <c:pt idx="3">
                  <c:v>Above $150,000</c:v>
                </c:pt>
              </c:strCache>
            </c:strRef>
          </c:cat>
          <c:val>
            <c:numRef>
              <c:f>'DQ charts'!$B$24:$B$27</c:f>
              <c:numCache>
                <c:formatCode>General</c:formatCode>
                <c:ptCount val="4"/>
                <c:pt idx="0">
                  <c:v>19</c:v>
                </c:pt>
                <c:pt idx="1">
                  <c:v>20</c:v>
                </c:pt>
                <c:pt idx="2">
                  <c:v>41</c:v>
                </c:pt>
                <c:pt idx="3">
                  <c:v>51</c:v>
                </c:pt>
              </c:numCache>
            </c:numRef>
          </c:val>
          <c:extLst>
            <c:ext xmlns:c16="http://schemas.microsoft.com/office/drawing/2014/chart" uri="{C3380CC4-5D6E-409C-BE32-E72D297353CC}">
              <c16:uniqueId val="{00000008-D861-4BC9-8B1E-16932DAF4B43}"/>
            </c:ext>
          </c:extLst>
        </c:ser>
        <c:ser>
          <c:idx val="1"/>
          <c:order val="1"/>
          <c:tx>
            <c:strRef>
              <c:f>'DQ charts'!$A$25</c:f>
              <c:strCache>
                <c:ptCount val="1"/>
                <c:pt idx="0">
                  <c:v>$35,000 to $74,999</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A-D861-4BC9-8B1E-16932DAF4B43}"/>
              </c:ext>
            </c:extLst>
          </c:dPt>
          <c:dLbls>
            <c:spPr>
              <a:noFill/>
              <a:ln>
                <a:noFill/>
              </a:ln>
              <a:effectLst/>
            </c:spPr>
            <c:txPr>
              <a:bodyPr rot="0" vert="horz"/>
              <a:lstStyle/>
              <a:p>
                <a:pPr>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val>
            <c:numLit>
              <c:formatCode>General</c:formatCode>
              <c:ptCount val="1"/>
              <c:pt idx="0">
                <c:v>1</c:v>
              </c:pt>
            </c:numLit>
          </c:val>
          <c:extLst>
            <c:ext xmlns:c16="http://schemas.microsoft.com/office/drawing/2014/chart" uri="{C3380CC4-5D6E-409C-BE32-E72D297353CC}">
              <c16:uniqueId val="{0000000B-D861-4BC9-8B1E-16932DAF4B43}"/>
            </c:ext>
          </c:extLst>
        </c:ser>
        <c:ser>
          <c:idx val="2"/>
          <c:order val="2"/>
          <c:tx>
            <c:strRef>
              <c:f>'DQ charts'!$A$26</c:f>
              <c:strCache>
                <c:ptCount val="1"/>
                <c:pt idx="0">
                  <c:v>$75,000 to $149,999</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D-D861-4BC9-8B1E-16932DAF4B43}"/>
              </c:ext>
            </c:extLst>
          </c:dPt>
          <c:dLbls>
            <c:spPr>
              <a:noFill/>
              <a:ln>
                <a:noFill/>
              </a:ln>
              <a:effectLst/>
            </c:spPr>
            <c:txPr>
              <a:bodyPr rot="0" vert="horz"/>
              <a:lstStyle/>
              <a:p>
                <a:pPr>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val>
            <c:numLit>
              <c:formatCode>General</c:formatCode>
              <c:ptCount val="1"/>
              <c:pt idx="0">
                <c:v>1</c:v>
              </c:pt>
            </c:numLit>
          </c:val>
          <c:extLst>
            <c:ext xmlns:c16="http://schemas.microsoft.com/office/drawing/2014/chart" uri="{C3380CC4-5D6E-409C-BE32-E72D297353CC}">
              <c16:uniqueId val="{0000000E-D861-4BC9-8B1E-16932DAF4B43}"/>
            </c:ext>
          </c:extLst>
        </c:ser>
        <c:ser>
          <c:idx val="3"/>
          <c:order val="3"/>
          <c:tx>
            <c:strRef>
              <c:f>'DQ charts'!$A$27</c:f>
              <c:strCache>
                <c:ptCount val="1"/>
                <c:pt idx="0">
                  <c:v>Above $150,000</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10-D861-4BC9-8B1E-16932DAF4B43}"/>
              </c:ext>
            </c:extLst>
          </c:dPt>
          <c:dLbls>
            <c:spPr>
              <a:noFill/>
              <a:ln>
                <a:noFill/>
              </a:ln>
              <a:effectLst/>
            </c:spPr>
            <c:txPr>
              <a:bodyPr rot="0" vert="horz"/>
              <a:lstStyle/>
              <a:p>
                <a:pPr>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val>
            <c:numLit>
              <c:formatCode>General</c:formatCode>
              <c:ptCount val="1"/>
              <c:pt idx="0">
                <c:v>1</c:v>
              </c:pt>
            </c:numLit>
          </c:val>
          <c:extLst>
            <c:ext xmlns:c16="http://schemas.microsoft.com/office/drawing/2014/chart" uri="{C3380CC4-5D6E-409C-BE32-E72D297353CC}">
              <c16:uniqueId val="{00000011-D861-4BC9-8B1E-16932DAF4B43}"/>
            </c:ext>
          </c:extLst>
        </c:ser>
        <c:dLbls>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Cambria"/>
          <a:cs typeface="Cambria"/>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Please indicate whether you have a(n):</a:t>
            </a:r>
          </a:p>
        </c:rich>
      </c:tx>
      <c:overlay val="0"/>
      <c:spPr>
        <a:noFill/>
        <a:ln>
          <a:noFill/>
        </a:ln>
        <a:effectLst/>
      </c:spPr>
    </c:title>
    <c:autoTitleDeleted val="0"/>
    <c:plotArea>
      <c:layout/>
      <c:barChart>
        <c:barDir val="col"/>
        <c:grouping val="percentStacked"/>
        <c:varyColors val="0"/>
        <c:ser>
          <c:idx val="0"/>
          <c:order val="0"/>
          <c:tx>
            <c:strRef>
              <c:f>'DQ charts'!$G$23</c:f>
              <c:strCache>
                <c:ptCount val="1"/>
                <c:pt idx="0">
                  <c:v>No </c:v>
                </c:pt>
              </c:strCache>
            </c:strRef>
          </c:tx>
          <c:spPr>
            <a:pattFill prst="ltDnDiag">
              <a:fgClr>
                <a:schemeClr val="accent2"/>
              </a:fgClr>
              <a:bgClr>
                <a:schemeClr val="bg1"/>
              </a:bgClr>
            </a:pattFill>
            <a:ln>
              <a:noFill/>
            </a:ln>
            <a:effectLst/>
          </c:spPr>
          <c:invertIfNegative val="0"/>
          <c:cat>
            <c:strRef>
              <c:f>'DQ charts'!$F$24:$F$27</c:f>
              <c:strCache>
                <c:ptCount val="4"/>
                <c:pt idx="0">
                  <c:v>Accountant/CPA In Your Immediate Family</c:v>
                </c:pt>
                <c:pt idx="1">
                  <c:v>Credit Card</c:v>
                </c:pt>
                <c:pt idx="2">
                  <c:v>Checking/Savings Account</c:v>
                </c:pt>
                <c:pt idx="3">
                  <c:v>Financial Aid Package or Student Loans</c:v>
                </c:pt>
              </c:strCache>
            </c:strRef>
          </c:cat>
          <c:val>
            <c:numRef>
              <c:f>'DQ charts'!$G$24:$G$27</c:f>
              <c:numCache>
                <c:formatCode>0%</c:formatCode>
                <c:ptCount val="4"/>
                <c:pt idx="0">
                  <c:v>0.83206106870229002</c:v>
                </c:pt>
                <c:pt idx="1">
                  <c:v>0.41221374045801501</c:v>
                </c:pt>
                <c:pt idx="2">
                  <c:v>5.34351145038168E-2</c:v>
                </c:pt>
                <c:pt idx="3">
                  <c:v>0.33587786259542002</c:v>
                </c:pt>
              </c:numCache>
            </c:numRef>
          </c:val>
          <c:extLst>
            <c:ext xmlns:c16="http://schemas.microsoft.com/office/drawing/2014/chart" uri="{C3380CC4-5D6E-409C-BE32-E72D297353CC}">
              <c16:uniqueId val="{00000000-342A-48D0-A8C8-FD1C40510E02}"/>
            </c:ext>
          </c:extLst>
        </c:ser>
        <c:ser>
          <c:idx val="1"/>
          <c:order val="1"/>
          <c:tx>
            <c:strRef>
              <c:f>'DQ charts'!$H$23</c:f>
              <c:strCache>
                <c:ptCount val="1"/>
                <c:pt idx="0">
                  <c:v>Yes</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'DQ charts'!$F$24:$F$27</c:f>
              <c:strCache>
                <c:ptCount val="4"/>
                <c:pt idx="0">
                  <c:v>Accountant/CPA In Your Immediate Family</c:v>
                </c:pt>
                <c:pt idx="1">
                  <c:v>Credit Card</c:v>
                </c:pt>
                <c:pt idx="2">
                  <c:v>Checking/Savings Account</c:v>
                </c:pt>
                <c:pt idx="3">
                  <c:v>Financial Aid Package or Student Loans</c:v>
                </c:pt>
              </c:strCache>
            </c:strRef>
          </c:cat>
          <c:val>
            <c:numRef>
              <c:f>'DQ charts'!$H$24:$H$27</c:f>
              <c:numCache>
                <c:formatCode>0%</c:formatCode>
                <c:ptCount val="4"/>
                <c:pt idx="0">
                  <c:v>0.16793893129771001</c:v>
                </c:pt>
                <c:pt idx="1">
                  <c:v>0.58778625954198505</c:v>
                </c:pt>
                <c:pt idx="2">
                  <c:v>0.94656488549618301</c:v>
                </c:pt>
                <c:pt idx="3">
                  <c:v>0.66412213740458004</c:v>
                </c:pt>
              </c:numCache>
            </c:numRef>
          </c:val>
          <c:extLst>
            <c:ext xmlns:c16="http://schemas.microsoft.com/office/drawing/2014/chart" uri="{C3380CC4-5D6E-409C-BE32-E72D297353CC}">
              <c16:uniqueId val="{00000001-342A-48D0-A8C8-FD1C40510E02}"/>
            </c:ext>
          </c:extLst>
        </c:ser>
        <c:dLbls>
          <c:showLegendKey val="0"/>
          <c:showVal val="0"/>
          <c:showCatName val="0"/>
          <c:showSerName val="0"/>
          <c:showPercent val="0"/>
          <c:showBubbleSize val="0"/>
        </c:dLbls>
        <c:gapWidth val="150"/>
        <c:overlap val="100"/>
        <c:axId val="2117311976"/>
        <c:axId val="2117162968"/>
      </c:barChart>
      <c:catAx>
        <c:axId val="2117311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2117162968"/>
        <c:crosses val="autoZero"/>
        <c:auto val="1"/>
        <c:lblAlgn val="ctr"/>
        <c:lblOffset val="100"/>
        <c:noMultiLvlLbl val="0"/>
      </c:catAx>
      <c:valAx>
        <c:axId val="21171629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n-US"/>
          </a:p>
        </c:txPr>
        <c:crossAx val="2117311976"/>
        <c:crosses val="autoZero"/>
        <c:crossBetween val="between"/>
      </c:valAx>
      <c:spPr>
        <a:noFill/>
        <a:ln>
          <a:noFill/>
        </a:ln>
        <a:effectLst/>
      </c:spPr>
    </c:plotArea>
    <c:legend>
      <c:legendPos val="r"/>
      <c:overlay val="0"/>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Cambria"/>
          <a:cs typeface="Cambria"/>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Cambria Math" panose="02040503050406030204" pitchFamily="18" charset="0"/>
                <a:cs typeface="Times New Roman" panose="02020603050405020304" pitchFamily="18" charset="0"/>
              </a:defRPr>
            </a:pPr>
            <a:r>
              <a:rPr lang="en-US" sz="1000" b="1">
                <a:solidFill>
                  <a:schemeClr val="tx1"/>
                </a:solidFill>
                <a:latin typeface="Times New Roman" panose="02020603050405020304" pitchFamily="18" charset="0"/>
                <a:ea typeface="Cambria Math" panose="02040503050406030204" pitchFamily="18" charset="0"/>
                <a:cs typeface="Times New Roman" panose="02020603050405020304" pitchFamily="18" charset="0"/>
              </a:rPr>
              <a:t>Type of Tax Filing</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Cambria Math" panose="02040503050406030204" pitchFamily="18" charset="0"/>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dPt>
            <c:idx val="0"/>
            <c:bubble3D val="0"/>
            <c:spPr>
              <a:solidFill>
                <a:schemeClr val="accent1"/>
              </a:solidFill>
              <a:ln w="25400">
                <a:noFill/>
              </a:ln>
              <a:effectLst/>
              <a:sp3d/>
            </c:spPr>
            <c:extLst>
              <c:ext xmlns:c16="http://schemas.microsoft.com/office/drawing/2014/chart" uri="{C3380CC4-5D6E-409C-BE32-E72D297353CC}">
                <c16:uniqueId val="{00000001-A1C6-406D-9F67-47F119CA3279}"/>
              </c:ext>
            </c:extLst>
          </c:dPt>
          <c:dPt>
            <c:idx val="1"/>
            <c:bubble3D val="0"/>
            <c:spPr>
              <a:solidFill>
                <a:schemeClr val="accent2"/>
              </a:solidFill>
              <a:ln w="25400">
                <a:noFill/>
              </a:ln>
              <a:effectLst/>
              <a:sp3d/>
            </c:spPr>
            <c:extLst>
              <c:ext xmlns:c16="http://schemas.microsoft.com/office/drawing/2014/chart" uri="{C3380CC4-5D6E-409C-BE32-E72D297353CC}">
                <c16:uniqueId val="{00000003-A1C6-406D-9F67-47F119CA3279}"/>
              </c:ext>
            </c:extLst>
          </c:dPt>
          <c:dPt>
            <c:idx val="2"/>
            <c:bubble3D val="0"/>
            <c:spPr>
              <a:solidFill>
                <a:schemeClr val="accent3"/>
              </a:solidFill>
              <a:ln w="25400">
                <a:noFill/>
              </a:ln>
              <a:effectLst/>
              <a:sp3d/>
            </c:spPr>
            <c:extLst>
              <c:ext xmlns:c16="http://schemas.microsoft.com/office/drawing/2014/chart" uri="{C3380CC4-5D6E-409C-BE32-E72D297353CC}">
                <c16:uniqueId val="{00000005-A1C6-406D-9F67-47F119CA3279}"/>
              </c:ext>
            </c:extLst>
          </c:dPt>
          <c:dPt>
            <c:idx val="3"/>
            <c:bubble3D val="0"/>
            <c:spPr>
              <a:solidFill>
                <a:schemeClr val="accent4"/>
              </a:solidFill>
              <a:ln w="25400">
                <a:noFill/>
              </a:ln>
              <a:effectLst/>
              <a:sp3d/>
            </c:spPr>
            <c:extLst>
              <c:ext xmlns:c16="http://schemas.microsoft.com/office/drawing/2014/chart" uri="{C3380CC4-5D6E-409C-BE32-E72D297353CC}">
                <c16:uniqueId val="{00000007-A1C6-406D-9F67-47F119CA3279}"/>
              </c:ext>
            </c:extLst>
          </c:dPt>
          <c:dPt>
            <c:idx val="4"/>
            <c:bubble3D val="0"/>
            <c:spPr>
              <a:solidFill>
                <a:schemeClr val="accent5"/>
              </a:solidFill>
              <a:ln w="25400">
                <a:noFill/>
              </a:ln>
              <a:effectLst/>
              <a:sp3d/>
            </c:spPr>
            <c:extLst>
              <c:ext xmlns:c16="http://schemas.microsoft.com/office/drawing/2014/chart" uri="{C3380CC4-5D6E-409C-BE32-E72D297353CC}">
                <c16:uniqueId val="{00000009-A1C6-406D-9F67-47F119CA3279}"/>
              </c:ext>
            </c:extLst>
          </c:dPt>
          <c:dLbls>
            <c:dLbl>
              <c:idx val="0"/>
              <c:layout>
                <c:manualLayout>
                  <c:x val="-0.23727451182624074"/>
                  <c:y val="0.15275334735204879"/>
                </c:manualLayout>
              </c:layout>
              <c:tx>
                <c:rich>
                  <a:bodyPr/>
                  <a:lstStyle/>
                  <a:p>
                    <a:fld id="{2C55F5A9-A017-5A45-8EB8-6AFF311106FD}" type="CATEGORYNAME">
                      <a:rPr lang="en-US"/>
                      <a:pPr/>
                      <a:t>[CATEGORY NAME]</a:t>
                    </a:fld>
                    <a:r>
                      <a:rPr lang="en-US" baseline="0"/>
                      <a:t>
32%</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33012669100279152"/>
                      <c:h val="0.29369720597790772"/>
                    </c:manualLayout>
                  </c15:layout>
                  <c15:dlblFieldTable/>
                  <c15:showDataLabelsRange val="0"/>
                </c:ext>
                <c:ext xmlns:c16="http://schemas.microsoft.com/office/drawing/2014/chart" uri="{C3380CC4-5D6E-409C-BE32-E72D297353CC}">
                  <c16:uniqueId val="{00000001-A1C6-406D-9F67-47F119CA3279}"/>
                </c:ext>
              </c:extLst>
            </c:dLbl>
            <c:dLbl>
              <c:idx val="1"/>
              <c:layout>
                <c:manualLayout>
                  <c:x val="-0.13786339321101254"/>
                  <c:y val="1.990857842709165E-2"/>
                </c:manualLayout>
              </c:layout>
              <c:tx>
                <c:rich>
                  <a:bodyPr/>
                  <a:lstStyle/>
                  <a:p>
                    <a:fld id="{3881C8E2-DCD8-C044-BC93-B618CA73A029}" type="CATEGORYNAME">
                      <a:rPr lang="en-US"/>
                      <a:pPr/>
                      <a:t>[CATEGORY NAME]</a:t>
                    </a:fld>
                    <a:r>
                      <a:rPr lang="en-US" baseline="0"/>
                      <a:t>
17%</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30081546871274978"/>
                      <c:h val="0.22126444720725696"/>
                    </c:manualLayout>
                  </c15:layout>
                  <c15:dlblFieldTable/>
                  <c15:showDataLabelsRange val="0"/>
                </c:ext>
                <c:ext xmlns:c16="http://schemas.microsoft.com/office/drawing/2014/chart" uri="{C3380CC4-5D6E-409C-BE32-E72D297353CC}">
                  <c16:uniqueId val="{00000003-A1C6-406D-9F67-47F119CA3279}"/>
                </c:ext>
              </c:extLst>
            </c:dLbl>
            <c:dLbl>
              <c:idx val="3"/>
              <c:tx>
                <c:rich>
                  <a:bodyPr/>
                  <a:lstStyle/>
                  <a:p>
                    <a:fld id="{7E50B279-3C54-934E-B1ED-F75D31B6D3CE}" type="CATEGORYNAME">
                      <a:rPr lang="en-US"/>
                      <a:pPr/>
                      <a:t>[CATEGORY NAME]</a:t>
                    </a:fld>
                    <a:r>
                      <a:rPr lang="en-US" baseline="0"/>
                      <a:t>
10%</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1C6-406D-9F67-47F119CA3279}"/>
                </c:ext>
              </c:extLst>
            </c:dLbl>
            <c:dLbl>
              <c:idx val="4"/>
              <c:tx>
                <c:rich>
                  <a:bodyPr/>
                  <a:lstStyle/>
                  <a:p>
                    <a:fld id="{2FC3DC9B-2CC3-8C45-B4B6-17770D2F30E9}" type="CATEGORYNAME">
                      <a:rPr lang="en-US"/>
                      <a:pPr/>
                      <a:t>[CATEGORY NAME]</a:t>
                    </a:fld>
                    <a:r>
                      <a:rPr lang="en-US" baseline="0"/>
                      <a:t>
30%</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1C6-406D-9F67-47F119CA3279}"/>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'DQ charts'!$X$38:$X$42</c:f>
              <c:strCache>
                <c:ptCount val="5"/>
                <c:pt idx="0">
                  <c:v>Never filed a return</c:v>
                </c:pt>
                <c:pt idx="1">
                  <c:v>SoftwareFiling</c:v>
                </c:pt>
                <c:pt idx="2">
                  <c:v>Paper Filing</c:v>
                </c:pt>
                <c:pt idx="3">
                  <c:v>ProfessionalFiling</c:v>
                </c:pt>
                <c:pt idx="4">
                  <c:v>File with parents</c:v>
                </c:pt>
              </c:strCache>
            </c:strRef>
          </c:cat>
          <c:val>
            <c:numRef>
              <c:f>'DQ charts'!$Y$38:$Y$42</c:f>
              <c:numCache>
                <c:formatCode>0%</c:formatCode>
                <c:ptCount val="5"/>
                <c:pt idx="0">
                  <c:v>0.11</c:v>
                </c:pt>
                <c:pt idx="1">
                  <c:v>0.26</c:v>
                </c:pt>
                <c:pt idx="2">
                  <c:v>0.11</c:v>
                </c:pt>
                <c:pt idx="3">
                  <c:v>0.18</c:v>
                </c:pt>
                <c:pt idx="4">
                  <c:v>0.33</c:v>
                </c:pt>
              </c:numCache>
            </c:numRef>
          </c:val>
          <c:extLst>
            <c:ext xmlns:c16="http://schemas.microsoft.com/office/drawing/2014/chart" uri="{C3380CC4-5D6E-409C-BE32-E72D297353CC}">
              <c16:uniqueId val="{0000000A-A1C6-406D-9F67-47F119CA3279}"/>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Cambria" panose="020405030504060302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44546A"/>
                </a:solidFill>
                <a:latin typeface="Times New Roman" panose="02020603050405020304" pitchFamily="18" charset="0"/>
                <a:ea typeface="+mn-ea"/>
                <a:cs typeface="Times New Roman" panose="02020603050405020304" pitchFamily="18" charset="0"/>
              </a:defRPr>
            </a:pPr>
            <a:r>
              <a:rPr lang="en-US" sz="1000" b="1" i="0" kern="1200" baseline="0">
                <a:solidFill>
                  <a:srgbClr val="000000"/>
                </a:solidFill>
                <a:effectLst/>
                <a:latin typeface="Times New Roman" panose="02020603050405020304" pitchFamily="18" charset="0"/>
                <a:ea typeface="Cambria Math" panose="02040503050406030204" pitchFamily="18" charset="0"/>
                <a:cs typeface="Times New Roman" panose="02020603050405020304" pitchFamily="18" charset="0"/>
              </a:rPr>
              <a:t>Taken a tax course</a:t>
            </a: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44546A"/>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4E0C-40BF-95E8-49BB00ECE9A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4E0C-40BF-95E8-49BB00ECE9A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4E0C-40BF-95E8-49BB00ECE9A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4E0C-40BF-95E8-49BB00ECE9A0}"/>
              </c:ext>
            </c:extLst>
          </c:dPt>
          <c:dLbls>
            <c:dLbl>
              <c:idx val="0"/>
              <c:tx>
                <c:rich>
                  <a:bodyPr/>
                  <a:lstStyle/>
                  <a:p>
                    <a:fld id="{3F637566-2E76-FD42-A024-82A1D4F1F6CD}" type="CATEGORYNAME">
                      <a:rPr lang="en-US" sz="1000">
                        <a:latin typeface="Cambria Math" panose="02040503050406030204" pitchFamily="18" charset="0"/>
                        <a:ea typeface="Cambria Math" panose="02040503050406030204" pitchFamily="18" charset="0"/>
                      </a:rPr>
                      <a:pPr/>
                      <a:t>[CATEGORY NAME]</a:t>
                    </a:fld>
                    <a:r>
                      <a:rPr lang="en-US" sz="1000" baseline="0">
                        <a:latin typeface="Cambria Math" panose="02040503050406030204" pitchFamily="18" charset="0"/>
                        <a:ea typeface="Cambria Math" panose="02040503050406030204" pitchFamily="18" charset="0"/>
                      </a:rPr>
                      <a:t>
</a:t>
                    </a:r>
                    <a:fld id="{B2188C82-E407-A544-9103-CFACE424C58E}" type="PERCENTAGE">
                      <a:rPr lang="en-US" sz="1000" baseline="0">
                        <a:latin typeface="Cambria Math" panose="02040503050406030204" pitchFamily="18" charset="0"/>
                        <a:ea typeface="Cambria Math" panose="02040503050406030204" pitchFamily="18" charset="0"/>
                      </a:rPr>
                      <a:pPr/>
                      <a:t>[PERCENTAGE]</a:t>
                    </a:fld>
                    <a:endParaRPr lang="en-US" sz="1000" baseline="0">
                      <a:latin typeface="Cambria Math" panose="02040503050406030204" pitchFamily="18" charset="0"/>
                      <a:ea typeface="Cambria Math" panose="02040503050406030204" pitchFamily="18" charset="0"/>
                    </a:endParaRPr>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E0C-40BF-95E8-49BB00ECE9A0}"/>
                </c:ext>
              </c:extLst>
            </c:dLbl>
            <c:dLbl>
              <c:idx val="1"/>
              <c:layout>
                <c:manualLayout>
                  <c:x val="0.13351110252322756"/>
                  <c:y val="6.5078049454344519E-2"/>
                </c:manualLayout>
              </c:layout>
              <c:tx>
                <c:rich>
                  <a:bodyPr/>
                  <a:lstStyle/>
                  <a:p>
                    <a:fld id="{0417A377-648D-EF42-9507-C2A40B271DAD}" type="CATEGORYNAME">
                      <a:rPr lang="en-US" sz="1000">
                        <a:latin typeface="Cambria Math" panose="02040503050406030204" pitchFamily="18" charset="0"/>
                        <a:ea typeface="Cambria Math" panose="02040503050406030204" pitchFamily="18" charset="0"/>
                      </a:rPr>
                      <a:pPr/>
                      <a:t>[CATEGORY NAME]</a:t>
                    </a:fld>
                    <a:r>
                      <a:rPr lang="en-US" sz="1000" baseline="0">
                        <a:latin typeface="Cambria Math" panose="02040503050406030204" pitchFamily="18" charset="0"/>
                        <a:ea typeface="Cambria Math" panose="02040503050406030204" pitchFamily="18" charset="0"/>
                      </a:rPr>
                      <a:t>
</a:t>
                    </a:r>
                    <a:fld id="{8E0DED4B-5771-4440-A353-4B26D7BDA234}" type="PERCENTAGE">
                      <a:rPr lang="en-US" sz="1000" baseline="0">
                        <a:latin typeface="Cambria Math" panose="02040503050406030204" pitchFamily="18" charset="0"/>
                        <a:ea typeface="Cambria Math" panose="02040503050406030204" pitchFamily="18" charset="0"/>
                      </a:rPr>
                      <a:pPr/>
                      <a:t>[PERCENTAGE]</a:t>
                    </a:fld>
                    <a:endParaRPr lang="en-US" sz="1000" baseline="0">
                      <a:latin typeface="Cambria Math" panose="02040503050406030204" pitchFamily="18" charset="0"/>
                      <a:ea typeface="Cambria Math" panose="02040503050406030204" pitchFamily="18" charset="0"/>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E0C-40BF-95E8-49BB00ECE9A0}"/>
                </c:ext>
              </c:extLst>
            </c:dLbl>
            <c:dLbl>
              <c:idx val="2"/>
              <c:layout>
                <c:manualLayout>
                  <c:x val="0.11744038130203042"/>
                  <c:y val="0.17087637437133221"/>
                </c:manualLayout>
              </c:layout>
              <c:tx>
                <c:rich>
                  <a:bodyPr/>
                  <a:lstStyle/>
                  <a:p>
                    <a:fld id="{28849EC3-5FB7-C349-B97E-60C9D3F46536}" type="CATEGORYNAME">
                      <a:rPr lang="en-US" sz="1000">
                        <a:latin typeface="Cambria Math" panose="02040503050406030204" pitchFamily="18" charset="0"/>
                        <a:ea typeface="Cambria Math" panose="02040503050406030204" pitchFamily="18" charset="0"/>
                      </a:rPr>
                      <a:pPr/>
                      <a:t>[CATEGORY NAME]</a:t>
                    </a:fld>
                    <a:r>
                      <a:rPr lang="en-US" sz="1000" baseline="0">
                        <a:latin typeface="Cambria Math" panose="02040503050406030204" pitchFamily="18" charset="0"/>
                        <a:ea typeface="Cambria Math" panose="02040503050406030204" pitchFamily="18" charset="0"/>
                      </a:rPr>
                      <a:t>
</a:t>
                    </a:r>
                    <a:fld id="{CE454A98-86A7-F34E-9CDF-034EEF752DC5}" type="PERCENTAGE">
                      <a:rPr lang="en-US" sz="1000" baseline="0">
                        <a:latin typeface="Cambria Math" panose="02040503050406030204" pitchFamily="18" charset="0"/>
                        <a:ea typeface="Cambria Math" panose="02040503050406030204" pitchFamily="18" charset="0"/>
                      </a:rPr>
                      <a:pPr/>
                      <a:t>[PERCENTAGE]</a:t>
                    </a:fld>
                    <a:endParaRPr lang="en-US" sz="1000" baseline="0">
                      <a:latin typeface="Cambria Math" panose="02040503050406030204" pitchFamily="18" charset="0"/>
                      <a:ea typeface="Cambria Math" panose="02040503050406030204" pitchFamily="18" charset="0"/>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E0C-40BF-95E8-49BB00ECE9A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Sheet1!$A$2:$A$5</c:f>
              <c:strCache>
                <c:ptCount val="3"/>
                <c:pt idx="0">
                  <c:v>No</c:v>
                </c:pt>
                <c:pt idx="1">
                  <c:v>Entry-level tax course</c:v>
                </c:pt>
                <c:pt idx="2">
                  <c:v>Advanced tax course</c:v>
                </c:pt>
              </c:strCache>
            </c:strRef>
          </c:cat>
          <c:val>
            <c:numRef>
              <c:f>Sheet1!$B$2:$B$5</c:f>
              <c:numCache>
                <c:formatCode>General</c:formatCode>
                <c:ptCount val="4"/>
                <c:pt idx="0">
                  <c:v>109</c:v>
                </c:pt>
                <c:pt idx="1">
                  <c:v>27</c:v>
                </c:pt>
                <c:pt idx="2">
                  <c:v>9</c:v>
                </c:pt>
              </c:numCache>
            </c:numRef>
          </c:val>
          <c:extLst>
            <c:ext xmlns:c16="http://schemas.microsoft.com/office/drawing/2014/chart" uri="{C3380CC4-5D6E-409C-BE32-E72D297353CC}">
              <c16:uniqueId val="{00000008-4E0C-40BF-95E8-49BB00ECE9A0}"/>
            </c:ext>
          </c:extLst>
        </c:ser>
        <c:dLbls>
          <c:dLblPos val="ctr"/>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050">
                <a:latin typeface="Times New Roman" panose="02020603050405020304" pitchFamily="18" charset="0"/>
                <a:ea typeface="Cambria Math" panose="02040503050406030204" pitchFamily="18" charset="0"/>
                <a:cs typeface="Times New Roman" panose="02020603050405020304" pitchFamily="18" charset="0"/>
              </a:defRPr>
            </a:pPr>
            <a:r>
              <a:rPr lang="en-US" sz="1050">
                <a:latin typeface="Times New Roman" panose="02020603050405020304" pitchFamily="18" charset="0"/>
                <a:cs typeface="Times New Roman" panose="02020603050405020304" pitchFamily="18" charset="0"/>
              </a:rPr>
              <a:t>Taken an accounting course</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3.4082927999651014E-2"/>
          <c:y val="4.9924433864371599E-2"/>
          <c:w val="0.84876319396789657"/>
          <c:h val="0.95007556613562838"/>
        </c:manualLayout>
      </c:layout>
      <c:pie3DChart>
        <c:varyColors val="1"/>
        <c:ser>
          <c:idx val="0"/>
          <c:order val="0"/>
          <c:tx>
            <c:v>Taken accounting course</c:v>
          </c:tx>
          <c:dLbls>
            <c:dLbl>
              <c:idx val="0"/>
              <c:tx>
                <c:rich>
                  <a:bodyPr/>
                  <a:lstStyle/>
                  <a:p>
                    <a:fld id="{42C97E36-C80A-F842-888B-F1B8925E4175}" type="CATEGORYNAME">
                      <a:rPr lang="en-US"/>
                      <a:pPr/>
                      <a:t>[CATEGORY NAME]</a:t>
                    </a:fld>
                    <a:r>
                      <a:rPr lang="en-US" baseline="0"/>
                      <a:t>
27%</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C6A-4DA4-82EC-D2A1F75A946B}"/>
                </c:ext>
              </c:extLst>
            </c:dLbl>
            <c:dLbl>
              <c:idx val="1"/>
              <c:layout>
                <c:manualLayout>
                  <c:x val="0.24197405752578388"/>
                  <c:y val="-0.10126521394128064"/>
                </c:manualLayout>
              </c:layout>
              <c:tx>
                <c:rich>
                  <a:bodyPr/>
                  <a:lstStyle/>
                  <a:p>
                    <a:fld id="{34469F4E-1576-104E-B817-F62552C7E7B8}" type="CATEGORYNAME">
                      <a:rPr lang="en-US"/>
                      <a:pPr/>
                      <a:t>[CATEGORY NAME]</a:t>
                    </a:fld>
                    <a:r>
                      <a:rPr lang="en-US" baseline="0"/>
                      <a:t>
44%</a:t>
                    </a:r>
                  </a:p>
                </c:rich>
              </c:tx>
              <c:showLegendKey val="0"/>
              <c:showVal val="0"/>
              <c:showCatName val="1"/>
              <c:showSerName val="0"/>
              <c:showPercent val="1"/>
              <c:showBubbleSize val="0"/>
              <c:extLst>
                <c:ext xmlns:c15="http://schemas.microsoft.com/office/drawing/2012/chart" uri="{CE6537A1-D6FC-4f65-9D91-7224C49458BB}">
                  <c15:layout>
                    <c:manualLayout>
                      <c:w val="0.26115491157042403"/>
                      <c:h val="0.45469767441860465"/>
                    </c:manualLayout>
                  </c15:layout>
                  <c15:dlblFieldTable/>
                  <c15:showDataLabelsRange val="0"/>
                </c:ext>
                <c:ext xmlns:c16="http://schemas.microsoft.com/office/drawing/2014/chart" uri="{C3380CC4-5D6E-409C-BE32-E72D297353CC}">
                  <c16:uniqueId val="{00000001-2C6A-4DA4-82EC-D2A1F75A946B}"/>
                </c:ext>
              </c:extLst>
            </c:dLbl>
            <c:dLbl>
              <c:idx val="2"/>
              <c:layout>
                <c:manualLayout>
                  <c:x val="0.1445422987159633"/>
                  <c:y val="9.9475309772324966E-2"/>
                </c:manualLayout>
              </c:layout>
              <c:tx>
                <c:rich>
                  <a:bodyPr/>
                  <a:lstStyle/>
                  <a:p>
                    <a:r>
                      <a:rPr lang="en-US"/>
                      <a:t>Advanced accounting course</a:t>
                    </a:r>
                    <a:r>
                      <a:rPr lang="en-US" baseline="0"/>
                      <a:t>
29%</a:t>
                    </a:r>
                    <a:endParaRPr lang="en-US"/>
                  </a:p>
                </c:rich>
              </c:tx>
              <c:showLegendKey val="0"/>
              <c:showVal val="0"/>
              <c:showCatName val="1"/>
              <c:showSerName val="0"/>
              <c:showPercent val="1"/>
              <c:showBubbleSize val="0"/>
              <c:extLst>
                <c:ext xmlns:c15="http://schemas.microsoft.com/office/drawing/2012/chart" uri="{CE6537A1-D6FC-4f65-9D91-7224C49458BB}">
                  <c15:layout>
                    <c:manualLayout>
                      <c:w val="0.2709141274238227"/>
                      <c:h val="0.382015503875969"/>
                    </c:manualLayout>
                  </c15:layout>
                  <c15:showDataLabelsRange val="0"/>
                </c:ext>
                <c:ext xmlns:c16="http://schemas.microsoft.com/office/drawing/2014/chart" uri="{C3380CC4-5D6E-409C-BE32-E72D297353CC}">
                  <c16:uniqueId val="{00000002-2C6A-4DA4-82EC-D2A1F75A946B}"/>
                </c:ext>
              </c:extLst>
            </c:dLbl>
            <c:spPr>
              <a:noFill/>
              <a:ln>
                <a:noFill/>
              </a:ln>
              <a:effectLst/>
            </c:spPr>
            <c:txPr>
              <a:bodyPr wrap="square" lIns="38100" tIns="19050" rIns="38100" bIns="19050" anchor="ctr">
                <a:spAutoFit/>
              </a:bodyPr>
              <a:lstStyle/>
              <a:p>
                <a:pPr>
                  <a:defRPr>
                    <a:latin typeface="Times New Roman" panose="02020603050405020304" pitchFamily="18" charset="0"/>
                    <a:ea typeface="Cambria Math" panose="02040503050406030204" pitchFamily="18" charset="0"/>
                    <a:cs typeface="Times New Roman" panose="02020603050405020304" pitchFamily="18" charset="0"/>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'[survey data 122620.xlsx]DQ charts'!$M$37:$M$39</c:f>
              <c:strCache>
                <c:ptCount val="3"/>
                <c:pt idx="0">
                  <c:v>No</c:v>
                </c:pt>
                <c:pt idx="1">
                  <c:v>Entry-level accounting course</c:v>
                </c:pt>
                <c:pt idx="2">
                  <c:v>Advance accounting course</c:v>
                </c:pt>
              </c:strCache>
            </c:strRef>
          </c:cat>
          <c:val>
            <c:numRef>
              <c:f>'[survey data 122620.xlsx]DQ charts'!$N$37:$N$39</c:f>
              <c:numCache>
                <c:formatCode>General</c:formatCode>
                <c:ptCount val="3"/>
                <c:pt idx="0">
                  <c:v>45</c:v>
                </c:pt>
                <c:pt idx="1">
                  <c:v>59</c:v>
                </c:pt>
                <c:pt idx="2">
                  <c:v>27</c:v>
                </c:pt>
              </c:numCache>
            </c:numRef>
          </c:val>
          <c:extLst>
            <c:ext xmlns:c16="http://schemas.microsoft.com/office/drawing/2014/chart" uri="{C3380CC4-5D6E-409C-BE32-E72D297353CC}">
              <c16:uniqueId val="{00000003-2C6A-4DA4-82EC-D2A1F75A946B}"/>
            </c:ext>
          </c:extLst>
        </c:ser>
        <c:dLbls>
          <c:showLegendKey val="0"/>
          <c:showVal val="0"/>
          <c:showCatName val="0"/>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C1808B-C237-E943-A4AE-EBB7A50BBE42}">
  <we:reference id="wa104380773" version="1.0.0.2" store="en-US" storeType="OMEX"/>
  <we:alternateReferences>
    <we:reference id="WA104380773" version="1.0.0.2"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BAF64-7886-4858-A0FF-4FA2D69F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12379</Words>
  <Characters>68087</Characters>
  <Application>Microsoft Office Word</Application>
  <DocSecurity>0</DocSecurity>
  <Lines>1891</Lines>
  <Paragraphs>874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dc:creator>
  <cp:keywords/>
  <dc:description/>
  <cp:lastModifiedBy>Friedman, Mark E.</cp:lastModifiedBy>
  <cp:revision>2</cp:revision>
  <cp:lastPrinted>2022-08-11T16:20:00Z</cp:lastPrinted>
  <dcterms:created xsi:type="dcterms:W3CDTF">2024-01-15T01:56:00Z</dcterms:created>
  <dcterms:modified xsi:type="dcterms:W3CDTF">2024-01-15T01:56:00Z</dcterms:modified>
</cp:coreProperties>
</file>